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93D0" w14:textId="599B3880" w:rsidR="00A4170B" w:rsidRDefault="00A4170B" w:rsidP="00A4170B">
      <w:pPr>
        <w:pStyle w:val="NoSpacing"/>
        <w:ind w:left="-1440"/>
        <w:jc w:val="center"/>
        <w:rPr>
          <w:noProof/>
        </w:rPr>
      </w:pPr>
    </w:p>
    <w:p w14:paraId="7473E0A2" w14:textId="06AF9055" w:rsidR="00A4170B" w:rsidRDefault="00A4170B" w:rsidP="00F177C8">
      <w:pPr>
        <w:pStyle w:val="NoSpacing"/>
        <w:ind w:left="-1440" w:firstLine="1440"/>
        <w:rPr>
          <w:noProof/>
        </w:rPr>
      </w:pPr>
      <w:r>
        <w:rPr>
          <w:noProof/>
          <w:lang w:val="sr-Latn-RS" w:eastAsia="sr-Latn-RS"/>
        </w:rPr>
        <w:drawing>
          <wp:inline distT="0" distB="0" distL="0" distR="0" wp14:anchorId="5C6B5F8D" wp14:editId="7F4E6A13">
            <wp:extent cx="1161849" cy="781050"/>
            <wp:effectExtent l="0" t="0" r="635" b="0"/>
            <wp:docPr id="1370349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442" cy="794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068AE" w14:textId="71F838F9" w:rsidR="00E70963" w:rsidRPr="00F177C8" w:rsidRDefault="00E70963" w:rsidP="00F177C8">
      <w:pPr>
        <w:pStyle w:val="NoSpacing"/>
        <w:jc w:val="both"/>
        <w:rPr>
          <w:b/>
          <w:bCs/>
        </w:rPr>
      </w:pPr>
      <w:r w:rsidRPr="00F177C8">
        <w:rPr>
          <w:b/>
          <w:bCs/>
        </w:rPr>
        <w:t>REPUBLIKA SRBIJA</w:t>
      </w:r>
    </w:p>
    <w:p w14:paraId="30846865" w14:textId="50C75BD5" w:rsidR="00E70963" w:rsidRPr="00F177C8" w:rsidRDefault="00E70963" w:rsidP="00E70963">
      <w:pPr>
        <w:pStyle w:val="NoSpacing"/>
        <w:jc w:val="both"/>
        <w:rPr>
          <w:b/>
          <w:bCs/>
        </w:rPr>
      </w:pPr>
      <w:r w:rsidRPr="00F177C8">
        <w:rPr>
          <w:b/>
          <w:bCs/>
        </w:rPr>
        <w:t>OPŠTINA TUTIN</w:t>
      </w:r>
    </w:p>
    <w:p w14:paraId="35A36206" w14:textId="6983877E" w:rsidR="00E70963" w:rsidRPr="00F177C8" w:rsidRDefault="00E70963" w:rsidP="00E70963">
      <w:pPr>
        <w:pStyle w:val="NoSpacing"/>
        <w:jc w:val="both"/>
        <w:rPr>
          <w:b/>
          <w:bCs/>
        </w:rPr>
      </w:pPr>
      <w:r w:rsidRPr="00F177C8">
        <w:rPr>
          <w:b/>
          <w:bCs/>
        </w:rPr>
        <w:t xml:space="preserve">OPŠTINSKA UPRAVA </w:t>
      </w:r>
    </w:p>
    <w:p w14:paraId="57F4445C" w14:textId="3930A16A" w:rsidR="00E70963" w:rsidRPr="00F177C8" w:rsidRDefault="00E70963" w:rsidP="00E70963">
      <w:pPr>
        <w:pStyle w:val="NoSpacing"/>
        <w:jc w:val="both"/>
        <w:rPr>
          <w:b/>
          <w:bCs/>
        </w:rPr>
      </w:pPr>
      <w:proofErr w:type="spellStart"/>
      <w:r w:rsidRPr="00F177C8">
        <w:rPr>
          <w:b/>
          <w:bCs/>
        </w:rPr>
        <w:t>Odeljenje</w:t>
      </w:r>
      <w:proofErr w:type="spellEnd"/>
      <w:r w:rsidRPr="00F177C8">
        <w:rPr>
          <w:b/>
          <w:bCs/>
        </w:rPr>
        <w:t xml:space="preserve"> za </w:t>
      </w:r>
      <w:proofErr w:type="spellStart"/>
      <w:r w:rsidRPr="00F177C8">
        <w:rPr>
          <w:b/>
          <w:bCs/>
        </w:rPr>
        <w:t>inspekcijske</w:t>
      </w:r>
      <w:proofErr w:type="spellEnd"/>
      <w:r w:rsidRPr="00F177C8">
        <w:rPr>
          <w:b/>
          <w:bCs/>
        </w:rPr>
        <w:t xml:space="preserve"> </w:t>
      </w:r>
      <w:proofErr w:type="spellStart"/>
      <w:r w:rsidRPr="00F177C8">
        <w:rPr>
          <w:b/>
          <w:bCs/>
        </w:rPr>
        <w:t>poslove</w:t>
      </w:r>
      <w:proofErr w:type="spellEnd"/>
    </w:p>
    <w:p w14:paraId="50EF5ADB" w14:textId="17FF94FB" w:rsidR="00E70963" w:rsidRPr="00F177C8" w:rsidRDefault="00E70963" w:rsidP="00F177C8">
      <w:pPr>
        <w:pStyle w:val="NoSpacing"/>
        <w:rPr>
          <w:b/>
          <w:bCs/>
        </w:rPr>
      </w:pPr>
      <w:proofErr w:type="spellStart"/>
      <w:r w:rsidRPr="00F177C8">
        <w:rPr>
          <w:b/>
          <w:bCs/>
        </w:rPr>
        <w:t>Broj</w:t>
      </w:r>
      <w:proofErr w:type="spellEnd"/>
      <w:r w:rsidRPr="00F177C8">
        <w:rPr>
          <w:b/>
          <w:bCs/>
        </w:rPr>
        <w:t xml:space="preserve">: 02-501- </w:t>
      </w:r>
      <w:proofErr w:type="spellStart"/>
      <w:r w:rsidRPr="00F177C8">
        <w:rPr>
          <w:b/>
          <w:bCs/>
        </w:rPr>
        <w:t>sl</w:t>
      </w:r>
      <w:proofErr w:type="spellEnd"/>
      <w:r w:rsidRPr="00F177C8">
        <w:rPr>
          <w:b/>
          <w:bCs/>
        </w:rPr>
        <w:t>/24-01</w:t>
      </w:r>
    </w:p>
    <w:p w14:paraId="097D70CF" w14:textId="7F74C9E2" w:rsidR="00E70963" w:rsidRPr="00F177C8" w:rsidRDefault="00E70963" w:rsidP="00E70963">
      <w:pPr>
        <w:pStyle w:val="NoSpacing"/>
        <w:jc w:val="both"/>
        <w:rPr>
          <w:b/>
          <w:bCs/>
        </w:rPr>
      </w:pPr>
      <w:r w:rsidRPr="00F177C8">
        <w:rPr>
          <w:b/>
          <w:bCs/>
        </w:rPr>
        <w:t>Datum:</w:t>
      </w:r>
      <w:r w:rsidR="00B95322" w:rsidRPr="00F177C8">
        <w:rPr>
          <w:b/>
          <w:bCs/>
        </w:rPr>
        <w:t xml:space="preserve"> </w:t>
      </w:r>
      <w:r w:rsidRPr="00F177C8">
        <w:rPr>
          <w:b/>
          <w:bCs/>
        </w:rPr>
        <w:t>12. 03. 2024.godine</w:t>
      </w:r>
    </w:p>
    <w:p w14:paraId="5BA5E8CF" w14:textId="5276CDB0" w:rsidR="00894890" w:rsidRPr="00F177C8" w:rsidRDefault="00E70963" w:rsidP="00E70963">
      <w:pPr>
        <w:pStyle w:val="NoSpacing"/>
        <w:jc w:val="both"/>
        <w:rPr>
          <w:b/>
          <w:bCs/>
        </w:rPr>
      </w:pPr>
      <w:proofErr w:type="spellStart"/>
      <w:r w:rsidRPr="00F177C8">
        <w:rPr>
          <w:b/>
          <w:bCs/>
        </w:rPr>
        <w:t>Tuti</w:t>
      </w:r>
      <w:r w:rsidR="009122A3" w:rsidRPr="00F177C8">
        <w:rPr>
          <w:b/>
          <w:bCs/>
        </w:rPr>
        <w:t>in</w:t>
      </w:r>
      <w:proofErr w:type="spellEnd"/>
    </w:p>
    <w:p w14:paraId="74BB7D8A" w14:textId="1CAC4006" w:rsidR="00E70963" w:rsidRDefault="00E70963" w:rsidP="00E70963">
      <w:pPr>
        <w:pStyle w:val="NoSpacing"/>
        <w:jc w:val="both"/>
      </w:pPr>
      <w:r>
        <w:t xml:space="preserve">              </w:t>
      </w:r>
    </w:p>
    <w:p w14:paraId="6B1CBD3B" w14:textId="7C3BE856" w:rsidR="00A4170B" w:rsidRDefault="00A4170B" w:rsidP="00A4170B">
      <w:pPr>
        <w:jc w:val="center"/>
        <w:rPr>
          <w:szCs w:val="22"/>
        </w:rPr>
      </w:pPr>
    </w:p>
    <w:p w14:paraId="48947DDD" w14:textId="77777777" w:rsidR="00A4170B" w:rsidRDefault="00A4170B" w:rsidP="00A4170B"/>
    <w:p w14:paraId="46D6B913" w14:textId="77777777" w:rsidR="0043327F" w:rsidRDefault="0043327F" w:rsidP="00A4170B"/>
    <w:p w14:paraId="03AD63D3" w14:textId="77777777" w:rsidR="00A4170B" w:rsidRDefault="00A4170B" w:rsidP="00A4170B"/>
    <w:p w14:paraId="6CCE0D01" w14:textId="77777777" w:rsidR="00A4170B" w:rsidRDefault="00A4170B" w:rsidP="00A4170B"/>
    <w:p w14:paraId="206AAC65" w14:textId="77777777" w:rsidR="00A4170B" w:rsidRDefault="00A4170B" w:rsidP="00A4170B"/>
    <w:p w14:paraId="2DDB55A4" w14:textId="77777777" w:rsidR="00A4170B" w:rsidRDefault="00A4170B" w:rsidP="00A4170B"/>
    <w:p w14:paraId="0592C31C" w14:textId="77777777" w:rsidR="00A4170B" w:rsidRDefault="00A4170B" w:rsidP="00A4170B"/>
    <w:p w14:paraId="6A53C842" w14:textId="3AB37BA7" w:rsidR="00A4170B" w:rsidRDefault="00A4170B" w:rsidP="00A4170B">
      <w:pPr>
        <w:jc w:val="center"/>
        <w:rPr>
          <w:rFonts w:ascii="Arial Black" w:hAnsi="Arial Black"/>
          <w:b/>
          <w:sz w:val="32"/>
          <w:szCs w:val="32"/>
        </w:rPr>
      </w:pPr>
      <w:proofErr w:type="gramStart"/>
      <w:r>
        <w:rPr>
          <w:rFonts w:ascii="Arial Black" w:hAnsi="Arial Black"/>
          <w:b/>
          <w:sz w:val="32"/>
          <w:szCs w:val="32"/>
        </w:rPr>
        <w:t>GODIŠNJI  IZVEŠTAJ</w:t>
      </w:r>
      <w:proofErr w:type="gramEnd"/>
      <w:r>
        <w:rPr>
          <w:rFonts w:ascii="Arial Black" w:hAnsi="Arial Black"/>
          <w:b/>
          <w:sz w:val="32"/>
          <w:szCs w:val="32"/>
        </w:rPr>
        <w:t xml:space="preserve"> O RADU</w:t>
      </w:r>
    </w:p>
    <w:p w14:paraId="26CE3B6C" w14:textId="77777777" w:rsidR="00D1486D" w:rsidRDefault="00A4170B" w:rsidP="00A4170B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A4170B">
        <w:rPr>
          <w:rFonts w:ascii="Arial Black" w:hAnsi="Arial Black"/>
          <w:b/>
          <w:bCs/>
          <w:sz w:val="32"/>
          <w:szCs w:val="32"/>
        </w:rPr>
        <w:t xml:space="preserve">INSPEKCIJE ZA ZAŠTITU ŽIVOTNE SREDINE </w:t>
      </w:r>
    </w:p>
    <w:p w14:paraId="097B4B26" w14:textId="14A20609" w:rsidR="00A4170B" w:rsidRPr="00A4170B" w:rsidRDefault="00A4170B" w:rsidP="00A4170B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A4170B">
        <w:rPr>
          <w:rFonts w:ascii="Arial Black" w:hAnsi="Arial Black"/>
          <w:b/>
          <w:bCs/>
          <w:sz w:val="32"/>
          <w:szCs w:val="32"/>
        </w:rPr>
        <w:t>ZA 202</w:t>
      </w:r>
      <w:r w:rsidR="00F177C8">
        <w:rPr>
          <w:rFonts w:ascii="Arial Black" w:hAnsi="Arial Black"/>
          <w:b/>
          <w:bCs/>
          <w:sz w:val="32"/>
          <w:szCs w:val="32"/>
        </w:rPr>
        <w:t>3</w:t>
      </w:r>
      <w:r w:rsidRPr="00A4170B">
        <w:rPr>
          <w:rFonts w:ascii="Arial Black" w:hAnsi="Arial Black"/>
          <w:b/>
          <w:bCs/>
          <w:sz w:val="32"/>
          <w:szCs w:val="32"/>
        </w:rPr>
        <w:t>. GODINU</w:t>
      </w:r>
    </w:p>
    <w:p w14:paraId="19382A46" w14:textId="77777777" w:rsidR="00A4170B" w:rsidRDefault="00A4170B" w:rsidP="00A4170B">
      <w:pPr>
        <w:rPr>
          <w:szCs w:val="22"/>
        </w:rPr>
      </w:pPr>
    </w:p>
    <w:p w14:paraId="1ABA826B" w14:textId="77777777" w:rsidR="00A4170B" w:rsidRDefault="00A4170B" w:rsidP="00A4170B"/>
    <w:p w14:paraId="002A0530" w14:textId="77777777" w:rsidR="00A4170B" w:rsidRDefault="00A4170B" w:rsidP="00A4170B"/>
    <w:p w14:paraId="6715AC65" w14:textId="77777777" w:rsidR="00A4170B" w:rsidRDefault="00A4170B" w:rsidP="00A4170B"/>
    <w:p w14:paraId="4583941B" w14:textId="77777777" w:rsidR="00A4170B" w:rsidRDefault="00A4170B" w:rsidP="00A4170B"/>
    <w:p w14:paraId="63D5A9DF" w14:textId="77777777" w:rsidR="00A4170B" w:rsidRDefault="00A4170B" w:rsidP="00A4170B"/>
    <w:p w14:paraId="16E2B697" w14:textId="77777777" w:rsidR="00A4170B" w:rsidRDefault="00A4170B" w:rsidP="00A4170B"/>
    <w:p w14:paraId="12838BE3" w14:textId="77777777" w:rsidR="00A4170B" w:rsidRDefault="00A4170B" w:rsidP="00A4170B"/>
    <w:p w14:paraId="5B9A2C73" w14:textId="77777777" w:rsidR="00A4170B" w:rsidRDefault="00A4170B" w:rsidP="00A4170B"/>
    <w:p w14:paraId="44A81F54" w14:textId="77777777" w:rsidR="00A4170B" w:rsidRDefault="00A4170B" w:rsidP="00A4170B"/>
    <w:p w14:paraId="00C6B468" w14:textId="77777777" w:rsidR="00A4170B" w:rsidRDefault="00A4170B" w:rsidP="00A4170B"/>
    <w:p w14:paraId="77070AB0" w14:textId="77777777" w:rsidR="00D768D6" w:rsidRDefault="00D768D6" w:rsidP="00D768D6">
      <w:pPr>
        <w:pStyle w:val="NoSpacing"/>
        <w:jc w:val="center"/>
        <w:rPr>
          <w:b/>
          <w:bCs/>
        </w:rPr>
      </w:pPr>
    </w:p>
    <w:p w14:paraId="7B823436" w14:textId="77777777" w:rsidR="00A4170B" w:rsidRDefault="00A4170B" w:rsidP="00D768D6">
      <w:pPr>
        <w:pStyle w:val="NoSpacing"/>
        <w:jc w:val="center"/>
        <w:rPr>
          <w:b/>
          <w:bCs/>
        </w:rPr>
      </w:pPr>
    </w:p>
    <w:p w14:paraId="3699AE9E" w14:textId="77777777" w:rsidR="00A4170B" w:rsidRDefault="00A4170B" w:rsidP="00D768D6">
      <w:pPr>
        <w:pStyle w:val="NoSpacing"/>
        <w:jc w:val="center"/>
        <w:rPr>
          <w:b/>
          <w:bCs/>
        </w:rPr>
      </w:pPr>
    </w:p>
    <w:p w14:paraId="08AFE868" w14:textId="77777777" w:rsidR="00A4170B" w:rsidRDefault="00A4170B" w:rsidP="00D768D6">
      <w:pPr>
        <w:pStyle w:val="NoSpacing"/>
        <w:jc w:val="center"/>
        <w:rPr>
          <w:b/>
          <w:bCs/>
        </w:rPr>
      </w:pPr>
    </w:p>
    <w:p w14:paraId="6F3C66C9" w14:textId="77777777" w:rsidR="00A4170B" w:rsidRDefault="00A4170B" w:rsidP="00D768D6">
      <w:pPr>
        <w:pStyle w:val="NoSpacing"/>
        <w:jc w:val="center"/>
        <w:rPr>
          <w:b/>
          <w:bCs/>
        </w:rPr>
      </w:pPr>
    </w:p>
    <w:p w14:paraId="64C69B79" w14:textId="77777777" w:rsidR="00A4170B" w:rsidRDefault="00A4170B" w:rsidP="00D768D6">
      <w:pPr>
        <w:pStyle w:val="NoSpacing"/>
        <w:jc w:val="center"/>
        <w:rPr>
          <w:b/>
          <w:bCs/>
        </w:rPr>
      </w:pPr>
    </w:p>
    <w:p w14:paraId="45193289" w14:textId="77777777" w:rsidR="0043327F" w:rsidRDefault="0043327F" w:rsidP="00D768D6">
      <w:pPr>
        <w:pStyle w:val="NoSpacing"/>
        <w:jc w:val="center"/>
        <w:rPr>
          <w:b/>
          <w:bCs/>
        </w:rPr>
      </w:pPr>
    </w:p>
    <w:p w14:paraId="71F6645D" w14:textId="77777777" w:rsidR="0043327F" w:rsidRDefault="0043327F" w:rsidP="00D768D6">
      <w:pPr>
        <w:pStyle w:val="NoSpacing"/>
        <w:jc w:val="center"/>
        <w:rPr>
          <w:b/>
          <w:bCs/>
        </w:rPr>
      </w:pPr>
    </w:p>
    <w:p w14:paraId="7F617767" w14:textId="77777777" w:rsidR="0043327F" w:rsidRDefault="0043327F" w:rsidP="00D768D6">
      <w:pPr>
        <w:pStyle w:val="NoSpacing"/>
        <w:jc w:val="center"/>
        <w:rPr>
          <w:b/>
          <w:bCs/>
        </w:rPr>
      </w:pPr>
    </w:p>
    <w:p w14:paraId="15569A96" w14:textId="77777777" w:rsidR="0043327F" w:rsidRDefault="0043327F" w:rsidP="00D768D6">
      <w:pPr>
        <w:pStyle w:val="NoSpacing"/>
        <w:jc w:val="center"/>
        <w:rPr>
          <w:b/>
          <w:bCs/>
        </w:rPr>
      </w:pPr>
    </w:p>
    <w:p w14:paraId="5B26EE21" w14:textId="002717AA" w:rsidR="00A4170B" w:rsidRDefault="00F177C8" w:rsidP="00D768D6">
      <w:pPr>
        <w:pStyle w:val="NoSpacing"/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Tutin,mart</w:t>
      </w:r>
      <w:proofErr w:type="spellEnd"/>
      <w:proofErr w:type="gramEnd"/>
      <w:r>
        <w:rPr>
          <w:b/>
          <w:bCs/>
        </w:rPr>
        <w:t xml:space="preserve"> 2024.godine</w:t>
      </w:r>
    </w:p>
    <w:p w14:paraId="7A70211E" w14:textId="77777777" w:rsidR="00A4170B" w:rsidRDefault="00A4170B" w:rsidP="00D768D6">
      <w:pPr>
        <w:pStyle w:val="NoSpacing"/>
        <w:jc w:val="center"/>
        <w:rPr>
          <w:b/>
          <w:bCs/>
        </w:rPr>
      </w:pPr>
    </w:p>
    <w:p w14:paraId="583DAD56" w14:textId="77777777" w:rsidR="0043327F" w:rsidRDefault="0043327F" w:rsidP="0043327F">
      <w:pPr>
        <w:pStyle w:val="NoSpacing"/>
        <w:rPr>
          <w:b/>
          <w:bCs/>
        </w:rPr>
      </w:pPr>
    </w:p>
    <w:p w14:paraId="4EDA4FA2" w14:textId="375F25E6" w:rsidR="00E70963" w:rsidRPr="005E0607" w:rsidRDefault="00E70963" w:rsidP="005E0607">
      <w:pPr>
        <w:pStyle w:val="NoSpacing"/>
        <w:jc w:val="center"/>
        <w:rPr>
          <w:b/>
          <w:bCs/>
        </w:rPr>
      </w:pPr>
      <w:r w:rsidRPr="00E70963">
        <w:rPr>
          <w:b/>
          <w:bCs/>
        </w:rPr>
        <w:lastRenderedPageBreak/>
        <w:t>PRAVNI OSNOV</w:t>
      </w:r>
    </w:p>
    <w:p w14:paraId="282DCD2C" w14:textId="77777777" w:rsidR="00E70963" w:rsidRDefault="00E70963" w:rsidP="00E70963">
      <w:pPr>
        <w:pStyle w:val="NoSpacing"/>
        <w:jc w:val="both"/>
      </w:pPr>
    </w:p>
    <w:p w14:paraId="2F1DBEE1" w14:textId="77777777" w:rsidR="0043327F" w:rsidRDefault="0043327F" w:rsidP="00E70963">
      <w:pPr>
        <w:pStyle w:val="NoSpacing"/>
        <w:jc w:val="both"/>
      </w:pPr>
    </w:p>
    <w:p w14:paraId="0024EA3A" w14:textId="258AA53D" w:rsidR="00E70963" w:rsidRDefault="00E70963" w:rsidP="005E0607">
      <w:pPr>
        <w:pStyle w:val="NoSpacing"/>
        <w:ind w:firstLine="720"/>
        <w:jc w:val="both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44.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RS”, br. 36/15 </w:t>
      </w:r>
      <w:proofErr w:type="spellStart"/>
      <w:r>
        <w:t>i</w:t>
      </w:r>
      <w:proofErr w:type="spellEnd"/>
      <w:r>
        <w:t xml:space="preserve"> 95/18) </w:t>
      </w:r>
      <w:proofErr w:type="spellStart"/>
      <w:r>
        <w:t>sačinjen</w:t>
      </w:r>
      <w:proofErr w:type="spellEnd"/>
      <w:r>
        <w:t xml:space="preserve"> je </w:t>
      </w:r>
      <w:proofErr w:type="spellStart"/>
      <w:r>
        <w:t>Izveštaj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Od</w:t>
      </w:r>
      <w:r w:rsidR="005F055A">
        <w:t>eljenja</w:t>
      </w:r>
      <w:proofErr w:type="spellEnd"/>
      <w:r>
        <w:t xml:space="preserve"> za </w:t>
      </w:r>
      <w:proofErr w:type="spellStart"/>
      <w:r>
        <w:t>inspekcijske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, </w:t>
      </w:r>
      <w:proofErr w:type="spellStart"/>
      <w:r>
        <w:t>Opštinske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5F055A">
        <w:t>Tutin</w:t>
      </w:r>
      <w:r>
        <w:t>.</w:t>
      </w:r>
    </w:p>
    <w:p w14:paraId="1468646C" w14:textId="77777777" w:rsidR="00E70963" w:rsidRDefault="00E70963" w:rsidP="00E70963">
      <w:pPr>
        <w:pStyle w:val="NoSpacing"/>
        <w:jc w:val="both"/>
      </w:pPr>
    </w:p>
    <w:p w14:paraId="3C03A21A" w14:textId="796F1E81" w:rsidR="00E70963" w:rsidRDefault="00E70963" w:rsidP="00D768D6">
      <w:pPr>
        <w:pStyle w:val="NoSpacing"/>
        <w:jc w:val="center"/>
        <w:rPr>
          <w:b/>
          <w:bCs/>
        </w:rPr>
      </w:pPr>
      <w:r w:rsidRPr="00E70963">
        <w:rPr>
          <w:b/>
          <w:bCs/>
        </w:rPr>
        <w:t xml:space="preserve">NADLEŽNOST </w:t>
      </w:r>
      <w:proofErr w:type="spellStart"/>
      <w:r w:rsidRPr="00E70963">
        <w:rPr>
          <w:b/>
          <w:bCs/>
        </w:rPr>
        <w:t>POSTUPANjA</w:t>
      </w:r>
      <w:proofErr w:type="spellEnd"/>
      <w:r w:rsidRPr="00E70963">
        <w:rPr>
          <w:b/>
          <w:bCs/>
        </w:rPr>
        <w:t xml:space="preserve"> INSPEKCIJE ZA ZAŠTITU ŽIVOTNE SREDINE</w:t>
      </w:r>
    </w:p>
    <w:p w14:paraId="040AA15C" w14:textId="77777777" w:rsidR="00D768D6" w:rsidRPr="00D768D6" w:rsidRDefault="00D768D6" w:rsidP="00D768D6">
      <w:pPr>
        <w:pStyle w:val="NoSpacing"/>
        <w:jc w:val="center"/>
        <w:rPr>
          <w:b/>
          <w:bCs/>
        </w:rPr>
      </w:pPr>
    </w:p>
    <w:p w14:paraId="74909C49" w14:textId="77777777" w:rsidR="005E0607" w:rsidRDefault="00E70963" w:rsidP="005E0607">
      <w:pPr>
        <w:pStyle w:val="NoSpacing"/>
        <w:ind w:firstLine="720"/>
        <w:jc w:val="both"/>
      </w:pP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u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primene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da se </w:t>
      </w:r>
      <w:proofErr w:type="spellStart"/>
      <w:r>
        <w:t>preventivnim</w:t>
      </w:r>
      <w:proofErr w:type="spellEnd"/>
      <w:r>
        <w:t xml:space="preserve"> </w:t>
      </w:r>
      <w:proofErr w:type="spellStart"/>
      <w:r>
        <w:t>delovanjem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izricanjem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ostvari</w:t>
      </w:r>
      <w:proofErr w:type="spellEnd"/>
      <w:r>
        <w:t xml:space="preserve"> </w:t>
      </w:r>
      <w:proofErr w:type="spellStart"/>
      <w:r>
        <w:t>zakonitost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</w:t>
      </w:r>
      <w:proofErr w:type="spellStart"/>
      <w:r>
        <w:t>nadziranih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spreče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otklone</w:t>
      </w:r>
      <w:proofErr w:type="spellEnd"/>
      <w:r>
        <w:t xml:space="preserve"> </w:t>
      </w:r>
      <w:proofErr w:type="spellStart"/>
      <w:r>
        <w:t>štetne</w:t>
      </w:r>
      <w:proofErr w:type="spellEnd"/>
      <w:r>
        <w:t xml:space="preserve"> </w:t>
      </w:r>
      <w:proofErr w:type="spellStart"/>
      <w:r>
        <w:t>posledice</w:t>
      </w:r>
      <w:proofErr w:type="spellEnd"/>
      <w:r>
        <w:t>.</w:t>
      </w:r>
    </w:p>
    <w:p w14:paraId="726E8CB2" w14:textId="253EC823" w:rsidR="00E70963" w:rsidRDefault="00E70963" w:rsidP="005E0607">
      <w:pPr>
        <w:pStyle w:val="NoSpacing"/>
        <w:ind w:firstLine="720"/>
        <w:jc w:val="both"/>
      </w:pPr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obezbeđenja</w:t>
      </w:r>
      <w:proofErr w:type="spellEnd"/>
      <w:r>
        <w:t xml:space="preserve"> </w:t>
      </w:r>
      <w:proofErr w:type="spellStart"/>
      <w:r>
        <w:t>poštovanja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nalaže</w:t>
      </w:r>
      <w:proofErr w:type="spellEnd"/>
      <w:r>
        <w:t xml:space="preserve"> mere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, </w:t>
      </w:r>
      <w:proofErr w:type="spellStart"/>
      <w:r>
        <w:t>inicira</w:t>
      </w:r>
      <w:proofErr w:type="spellEnd"/>
      <w:r>
        <w:t xml:space="preserve">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pred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nadležnim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.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u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opštinska</w:t>
      </w:r>
      <w:proofErr w:type="spellEnd"/>
      <w:r>
        <w:t xml:space="preserve">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povereni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.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obavlja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koji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primenu</w:t>
      </w:r>
      <w:proofErr w:type="spellEnd"/>
      <w:r>
        <w:t xml:space="preserve"> dela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sledećim</w:t>
      </w:r>
      <w:proofErr w:type="spellEnd"/>
      <w:r>
        <w:t xml:space="preserve"> </w:t>
      </w:r>
      <w:proofErr w:type="spellStart"/>
      <w:r>
        <w:t>zakonima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prodzakonskim</w:t>
      </w:r>
      <w:proofErr w:type="spellEnd"/>
      <w:r>
        <w:t xml:space="preserve"> </w:t>
      </w:r>
      <w:proofErr w:type="spellStart"/>
      <w:r>
        <w:t>aktima</w:t>
      </w:r>
      <w:proofErr w:type="spellEnd"/>
      <w:r>
        <w:t xml:space="preserve"> </w:t>
      </w:r>
      <w:proofErr w:type="spellStart"/>
      <w:r>
        <w:t>donetim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istih</w:t>
      </w:r>
      <w:proofErr w:type="spellEnd"/>
      <w:r>
        <w:t>:</w:t>
      </w:r>
    </w:p>
    <w:p w14:paraId="2229B7CD" w14:textId="77777777" w:rsidR="00E70963" w:rsidRDefault="00E70963" w:rsidP="00E70963">
      <w:pPr>
        <w:pStyle w:val="NoSpacing"/>
        <w:jc w:val="both"/>
      </w:pPr>
    </w:p>
    <w:p w14:paraId="16186CEC" w14:textId="77777777" w:rsidR="00E70963" w:rsidRDefault="00E70963" w:rsidP="00E70963">
      <w:pPr>
        <w:pStyle w:val="NoSpacing"/>
        <w:jc w:val="both"/>
      </w:pPr>
      <w:r>
        <w:t xml:space="preserve">-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(„Sl.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RS“ br</w:t>
      </w:r>
      <w:proofErr w:type="gramEnd"/>
      <w:r>
        <w:t xml:space="preserve">:135/04; 36/09; 72/09 </w:t>
      </w:r>
      <w:proofErr w:type="spellStart"/>
      <w:r>
        <w:t>i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zakoni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43/2011 </w:t>
      </w:r>
      <w:proofErr w:type="spellStart"/>
      <w:r>
        <w:t>odluka</w:t>
      </w:r>
      <w:proofErr w:type="spellEnd"/>
      <w:r>
        <w:t xml:space="preserve"> US, 14/2016, 76/18, 95/18 </w:t>
      </w:r>
      <w:proofErr w:type="spellStart"/>
      <w:r>
        <w:t>i</w:t>
      </w:r>
      <w:proofErr w:type="spellEnd"/>
      <w:r>
        <w:t xml:space="preserve"> dr. </w:t>
      </w:r>
      <w:proofErr w:type="spellStart"/>
      <w:r>
        <w:t>zakon</w:t>
      </w:r>
      <w:proofErr w:type="spellEnd"/>
      <w:r>
        <w:t>);</w:t>
      </w:r>
    </w:p>
    <w:p w14:paraId="42174EB5" w14:textId="77777777" w:rsidR="00E70963" w:rsidRDefault="00E70963" w:rsidP="00E70963">
      <w:pPr>
        <w:pStyle w:val="NoSpacing"/>
        <w:jc w:val="both"/>
      </w:pPr>
      <w:r>
        <w:t xml:space="preserve">-Zakon o </w:t>
      </w:r>
      <w:proofErr w:type="spellStart"/>
      <w:r>
        <w:t>proceni</w:t>
      </w:r>
      <w:proofErr w:type="spellEnd"/>
      <w:r>
        <w:t xml:space="preserve"> </w:t>
      </w:r>
      <w:proofErr w:type="spellStart"/>
      <w:r>
        <w:t>uticaja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životnu</w:t>
      </w:r>
      <w:proofErr w:type="spellEnd"/>
      <w:r>
        <w:t xml:space="preserve"> </w:t>
      </w:r>
      <w:proofErr w:type="spellStart"/>
      <w:r>
        <w:t>sredinu</w:t>
      </w:r>
      <w:proofErr w:type="spellEnd"/>
      <w:r>
        <w:t xml:space="preserve"> ("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RS", br. 135/2004 </w:t>
      </w:r>
      <w:proofErr w:type="spellStart"/>
      <w:r>
        <w:t>i</w:t>
      </w:r>
      <w:proofErr w:type="spellEnd"/>
      <w:r>
        <w:t xml:space="preserve"> 36/2009);</w:t>
      </w:r>
    </w:p>
    <w:p w14:paraId="13335FB5" w14:textId="77777777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integrisanom</w:t>
      </w:r>
      <w:proofErr w:type="spellEnd"/>
      <w:r>
        <w:t xml:space="preserve"> </w:t>
      </w:r>
      <w:proofErr w:type="spellStart"/>
      <w:r>
        <w:t>sprečavanju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 </w:t>
      </w:r>
      <w:proofErr w:type="spellStart"/>
      <w:r>
        <w:t>zagađivanja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(„Sl.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RS“</w:t>
      </w:r>
      <w:proofErr w:type="gramEnd"/>
      <w:r>
        <w:t xml:space="preserve">, br. 36/2009 </w:t>
      </w:r>
      <w:proofErr w:type="spellStart"/>
      <w:r>
        <w:t>i</w:t>
      </w:r>
      <w:proofErr w:type="spellEnd"/>
      <w:r>
        <w:t xml:space="preserve"> 25/2015),</w:t>
      </w:r>
    </w:p>
    <w:p w14:paraId="34EB5016" w14:textId="46C5589F" w:rsidR="00E70963" w:rsidRDefault="00E70963" w:rsidP="00E70963">
      <w:pPr>
        <w:pStyle w:val="NoSpacing"/>
        <w:jc w:val="both"/>
      </w:pPr>
      <w:r>
        <w:t xml:space="preserve"> -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od buke u </w:t>
      </w:r>
      <w:proofErr w:type="spellStart"/>
      <w:r>
        <w:t>životnoj</w:t>
      </w:r>
      <w:proofErr w:type="spellEnd"/>
      <w:r>
        <w:t xml:space="preserve"> </w:t>
      </w:r>
      <w:proofErr w:type="spellStart"/>
      <w:r>
        <w:t>sredini</w:t>
      </w:r>
      <w:proofErr w:type="spellEnd"/>
      <w:r>
        <w:t xml:space="preserve"> </w:t>
      </w:r>
      <w:r w:rsidR="00BA2B41" w:rsidRPr="00BA2B41">
        <w:t xml:space="preserve">("Sl. </w:t>
      </w:r>
      <w:proofErr w:type="spellStart"/>
      <w:r w:rsidR="00BA2B41" w:rsidRPr="00BA2B41">
        <w:t>glasnik</w:t>
      </w:r>
      <w:proofErr w:type="spellEnd"/>
      <w:r w:rsidR="00BA2B41" w:rsidRPr="00BA2B41">
        <w:t xml:space="preserve"> RS", br. 96/2021);</w:t>
      </w:r>
    </w:p>
    <w:p w14:paraId="426C31B6" w14:textId="145506A5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upravljanju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r w:rsidR="008E178F" w:rsidRPr="008E178F">
        <w:t xml:space="preserve">("Sl. </w:t>
      </w:r>
      <w:proofErr w:type="spellStart"/>
      <w:r w:rsidR="008E178F" w:rsidRPr="008E178F">
        <w:t>glasnik</w:t>
      </w:r>
      <w:proofErr w:type="spellEnd"/>
      <w:r w:rsidR="008E178F" w:rsidRPr="008E178F">
        <w:t xml:space="preserve"> RS", br. 36/2009, 88/2010, 14/2016, 95/2018 - dr. </w:t>
      </w:r>
      <w:proofErr w:type="spellStart"/>
      <w:r w:rsidR="008E178F" w:rsidRPr="008E178F">
        <w:t>zakon</w:t>
      </w:r>
      <w:proofErr w:type="spellEnd"/>
      <w:r w:rsidR="008E178F" w:rsidRPr="008E178F">
        <w:t xml:space="preserve"> </w:t>
      </w:r>
      <w:proofErr w:type="spellStart"/>
      <w:r w:rsidR="008E178F" w:rsidRPr="008E178F">
        <w:t>i</w:t>
      </w:r>
      <w:proofErr w:type="spellEnd"/>
      <w:r w:rsidR="008E178F" w:rsidRPr="008E178F">
        <w:t xml:space="preserve"> 35/2023)</w:t>
      </w:r>
      <w:r>
        <w:t>;</w:t>
      </w:r>
    </w:p>
    <w:p w14:paraId="4BBBE52A" w14:textId="77777777" w:rsidR="00E70963" w:rsidRDefault="00E70963" w:rsidP="00E70963">
      <w:pPr>
        <w:pStyle w:val="NoSpacing"/>
        <w:jc w:val="both"/>
      </w:pPr>
      <w:r>
        <w:t xml:space="preserve">-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vazduha</w:t>
      </w:r>
      <w:proofErr w:type="spellEnd"/>
      <w:r>
        <w:t xml:space="preserve"> ("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RS", br.  36/2009 </w:t>
      </w:r>
      <w:proofErr w:type="spellStart"/>
      <w:r>
        <w:t>i</w:t>
      </w:r>
      <w:proofErr w:type="spellEnd"/>
      <w:r>
        <w:t xml:space="preserve"> 10/2013);</w:t>
      </w:r>
    </w:p>
    <w:p w14:paraId="02535221" w14:textId="77777777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hemikalijama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RS“</w:t>
      </w:r>
      <w:proofErr w:type="gramEnd"/>
      <w:r>
        <w:t xml:space="preserve">, br. 36/09, 88/10, 92/11, 93/12 </w:t>
      </w:r>
      <w:proofErr w:type="spellStart"/>
      <w:r>
        <w:t>i</w:t>
      </w:r>
      <w:proofErr w:type="spellEnd"/>
      <w:r>
        <w:t xml:space="preserve"> 25/15),</w:t>
      </w:r>
    </w:p>
    <w:p w14:paraId="5182759B" w14:textId="77777777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nejonizujućih</w:t>
      </w:r>
      <w:proofErr w:type="spellEnd"/>
      <w:r>
        <w:t xml:space="preserve"> </w:t>
      </w:r>
      <w:proofErr w:type="spellStart"/>
      <w:r>
        <w:t>zračenja</w:t>
      </w:r>
      <w:proofErr w:type="spellEnd"/>
      <w:r>
        <w:t xml:space="preserve"> („Sl. </w:t>
      </w:r>
      <w:proofErr w:type="spellStart"/>
      <w:r>
        <w:t>glasnik</w:t>
      </w:r>
      <w:proofErr w:type="spellEnd"/>
      <w:r>
        <w:t xml:space="preserve"> </w:t>
      </w:r>
      <w:proofErr w:type="gramStart"/>
      <w:r>
        <w:t>RS“</w:t>
      </w:r>
      <w:proofErr w:type="gramEnd"/>
      <w:r>
        <w:t xml:space="preserve">, br. 36/2009),  </w:t>
      </w:r>
    </w:p>
    <w:p w14:paraId="14E6AF4E" w14:textId="6AC897D9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("Sl. </w:t>
      </w:r>
      <w:proofErr w:type="spellStart"/>
      <w:r>
        <w:t>glasnik</w:t>
      </w:r>
      <w:proofErr w:type="spellEnd"/>
      <w:r>
        <w:t xml:space="preserve"> RS", br. 36/2009, 88/2010, 91/2010 - </w:t>
      </w:r>
      <w:proofErr w:type="spellStart"/>
      <w:r>
        <w:t>ispr</w:t>
      </w:r>
      <w:proofErr w:type="spellEnd"/>
      <w:r>
        <w:t xml:space="preserve">., 14/2016 </w:t>
      </w:r>
      <w:proofErr w:type="spellStart"/>
      <w:r>
        <w:t>i</w:t>
      </w:r>
      <w:proofErr w:type="spellEnd"/>
      <w:r>
        <w:t xml:space="preserve"> 95/2018 </w:t>
      </w:r>
      <w:proofErr w:type="spellStart"/>
      <w:r>
        <w:t>i</w:t>
      </w:r>
      <w:proofErr w:type="spellEnd"/>
      <w:r>
        <w:t xml:space="preserve"> rd. </w:t>
      </w:r>
      <w:proofErr w:type="spellStart"/>
      <w:r>
        <w:t>zakon</w:t>
      </w:r>
      <w:proofErr w:type="spellEnd"/>
      <w:r>
        <w:t>)</w:t>
      </w:r>
      <w:r w:rsidR="005E0607">
        <w:t>.</w:t>
      </w:r>
    </w:p>
    <w:p w14:paraId="54380C0D" w14:textId="77777777" w:rsidR="005E0607" w:rsidRDefault="005E0607" w:rsidP="00E70963">
      <w:pPr>
        <w:pStyle w:val="NoSpacing"/>
        <w:jc w:val="both"/>
      </w:pPr>
    </w:p>
    <w:p w14:paraId="073D94CA" w14:textId="6081C27A" w:rsidR="00D768D6" w:rsidRDefault="00E70963" w:rsidP="00D768D6">
      <w:pPr>
        <w:pStyle w:val="NoSpacing"/>
        <w:ind w:firstLine="720"/>
        <w:jc w:val="both"/>
      </w:pPr>
      <w:r>
        <w:t xml:space="preserve">Inspektor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postupa</w:t>
      </w:r>
      <w:proofErr w:type="spellEnd"/>
      <w:r>
        <w:t xml:space="preserve"> </w:t>
      </w:r>
      <w:proofErr w:type="gramStart"/>
      <w:r>
        <w:t>po :</w:t>
      </w:r>
      <w:proofErr w:type="gramEnd"/>
    </w:p>
    <w:p w14:paraId="1B0C00C2" w14:textId="77777777" w:rsidR="0043327F" w:rsidRDefault="0043327F" w:rsidP="00D768D6">
      <w:pPr>
        <w:pStyle w:val="NoSpacing"/>
        <w:ind w:firstLine="720"/>
        <w:jc w:val="both"/>
      </w:pPr>
    </w:p>
    <w:p w14:paraId="59C789D9" w14:textId="77777777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gramStart"/>
      <w:r>
        <w:t>( '</w:t>
      </w:r>
      <w:proofErr w:type="gramEnd"/>
      <w:r>
        <w:t xml:space="preserve">'Sl. </w:t>
      </w:r>
      <w:proofErr w:type="spellStart"/>
      <w:r>
        <w:t>glasnik</w:t>
      </w:r>
      <w:proofErr w:type="spellEnd"/>
      <w:r>
        <w:t xml:space="preserve"> RS'' br.36/15, 44/18 </w:t>
      </w:r>
      <w:proofErr w:type="spellStart"/>
      <w:r>
        <w:t>i</w:t>
      </w:r>
      <w:proofErr w:type="spellEnd"/>
      <w:r>
        <w:t xml:space="preserve"> dr. Zakon </w:t>
      </w:r>
      <w:proofErr w:type="spellStart"/>
      <w:r>
        <w:t>i</w:t>
      </w:r>
      <w:proofErr w:type="spellEnd"/>
      <w:r>
        <w:t xml:space="preserve"> 95/18) ;</w:t>
      </w:r>
      <w:proofErr w:type="spellStart"/>
      <w:r>
        <w:t>i</w:t>
      </w:r>
      <w:proofErr w:type="spellEnd"/>
    </w:p>
    <w:p w14:paraId="5700289E" w14:textId="77777777" w:rsidR="00E70963" w:rsidRDefault="00E70963" w:rsidP="00E70963">
      <w:pPr>
        <w:pStyle w:val="NoSpacing"/>
        <w:jc w:val="both"/>
      </w:pPr>
      <w:r>
        <w:t xml:space="preserve">- Zakon o </w:t>
      </w:r>
      <w:proofErr w:type="spellStart"/>
      <w:r>
        <w:t>opštem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(Zakon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(''Sl. </w:t>
      </w:r>
      <w:proofErr w:type="spellStart"/>
      <w:r>
        <w:t>glasnik</w:t>
      </w:r>
      <w:proofErr w:type="spellEnd"/>
      <w:r>
        <w:t xml:space="preserve"> RS'' br.18/16 </w:t>
      </w:r>
      <w:proofErr w:type="spellStart"/>
      <w:r>
        <w:t>i</w:t>
      </w:r>
      <w:proofErr w:type="spellEnd"/>
      <w:r>
        <w:t xml:space="preserve"> 95/18 – </w:t>
      </w:r>
      <w:proofErr w:type="spellStart"/>
      <w:r>
        <w:t>autentično</w:t>
      </w:r>
      <w:proofErr w:type="spellEnd"/>
      <w:r>
        <w:t xml:space="preserve"> </w:t>
      </w:r>
      <w:proofErr w:type="spellStart"/>
      <w:r>
        <w:t>tumačenje</w:t>
      </w:r>
      <w:proofErr w:type="spellEnd"/>
      <w:r>
        <w:t>);</w:t>
      </w:r>
    </w:p>
    <w:p w14:paraId="3C23069F" w14:textId="3E7234A1" w:rsidR="00E70963" w:rsidRDefault="003503A8" w:rsidP="00E70963">
      <w:pPr>
        <w:pStyle w:val="NoSpacing"/>
        <w:jc w:val="both"/>
      </w:pPr>
      <w:r>
        <w:t xml:space="preserve">- </w:t>
      </w:r>
      <w:proofErr w:type="spellStart"/>
      <w:r w:rsidR="00E70963">
        <w:t>Zakonu</w:t>
      </w:r>
      <w:proofErr w:type="spellEnd"/>
      <w:r w:rsidR="00E70963">
        <w:t xml:space="preserve"> o </w:t>
      </w:r>
      <w:proofErr w:type="spellStart"/>
      <w:r w:rsidR="00E70963">
        <w:t>prekršajima</w:t>
      </w:r>
      <w:proofErr w:type="spellEnd"/>
      <w:r w:rsidR="00E70963">
        <w:t xml:space="preserve"> („Sl. </w:t>
      </w:r>
      <w:proofErr w:type="spellStart"/>
      <w:r w:rsidR="00E70963">
        <w:t>glasnik</w:t>
      </w:r>
      <w:proofErr w:type="spellEnd"/>
      <w:r w:rsidR="00E70963">
        <w:t xml:space="preserve"> RS”, br. 65/2013, 13/2016 </w:t>
      </w:r>
      <w:proofErr w:type="spellStart"/>
      <w:r w:rsidR="00E70963">
        <w:t>i</w:t>
      </w:r>
      <w:proofErr w:type="spellEnd"/>
      <w:r w:rsidR="00E70963">
        <w:t xml:space="preserve"> 98/2016- </w:t>
      </w:r>
      <w:proofErr w:type="spellStart"/>
      <w:r w:rsidR="00E70963">
        <w:t>odluka</w:t>
      </w:r>
      <w:proofErr w:type="spellEnd"/>
      <w:r w:rsidR="00E70963">
        <w:t xml:space="preserve"> US)</w:t>
      </w:r>
    </w:p>
    <w:p w14:paraId="26C1D7B5" w14:textId="77777777" w:rsidR="00E70963" w:rsidRDefault="00E70963" w:rsidP="00E70963">
      <w:pPr>
        <w:pStyle w:val="NoSpacing"/>
        <w:jc w:val="both"/>
      </w:pPr>
    </w:p>
    <w:p w14:paraId="56C32879" w14:textId="15DBCEE9" w:rsidR="00E70963" w:rsidRDefault="003503A8" w:rsidP="00E70963">
      <w:pPr>
        <w:pStyle w:val="NoSpacing"/>
        <w:jc w:val="both"/>
      </w:pPr>
      <w:r>
        <w:t xml:space="preserve">- </w:t>
      </w:r>
      <w:proofErr w:type="spellStart"/>
      <w:r w:rsidR="00E70963">
        <w:t>Krivičnom</w:t>
      </w:r>
      <w:proofErr w:type="spellEnd"/>
      <w:r w:rsidR="00E70963">
        <w:t xml:space="preserve"> </w:t>
      </w:r>
      <w:proofErr w:type="spellStart"/>
      <w:r w:rsidR="00E70963">
        <w:t>zakoniku</w:t>
      </w:r>
      <w:proofErr w:type="spellEnd"/>
      <w:r w:rsidR="00E70963">
        <w:t xml:space="preserve"> („Sl. </w:t>
      </w:r>
      <w:proofErr w:type="spellStart"/>
      <w:r w:rsidR="00E70963">
        <w:t>glasnik</w:t>
      </w:r>
      <w:proofErr w:type="spellEnd"/>
      <w:r w:rsidR="00E70963">
        <w:t xml:space="preserve"> RS”, br. 85/2005, 88/2005, 107/2005, 72/2009, 111/2009, 121/2012, 104/2013, 108/2014, 94/16 </w:t>
      </w:r>
      <w:proofErr w:type="spellStart"/>
      <w:r w:rsidR="00E70963">
        <w:t>i</w:t>
      </w:r>
      <w:proofErr w:type="spellEnd"/>
      <w:r w:rsidR="00E70963">
        <w:t xml:space="preserve"> 35/19)</w:t>
      </w:r>
    </w:p>
    <w:p w14:paraId="587F28B5" w14:textId="77777777" w:rsidR="0043327F" w:rsidRDefault="0043327F" w:rsidP="00E70963">
      <w:pPr>
        <w:pStyle w:val="NoSpacing"/>
        <w:jc w:val="both"/>
      </w:pPr>
    </w:p>
    <w:p w14:paraId="348A3F78" w14:textId="592EAE71" w:rsidR="0043327F" w:rsidRDefault="00E70963" w:rsidP="0043327F">
      <w:pPr>
        <w:pStyle w:val="NoSpacing"/>
        <w:ind w:firstLine="720"/>
        <w:jc w:val="both"/>
        <w:rPr>
          <w:rStyle w:val="Hyperlink"/>
        </w:rPr>
      </w:pPr>
      <w:proofErr w:type="spellStart"/>
      <w:r>
        <w:t>Inspekcijski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u 202</w:t>
      </w:r>
      <w:r w:rsidR="005E0607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vršeni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Godišnjim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za 202</w:t>
      </w:r>
      <w:r w:rsidR="005E0607">
        <w:t>3</w:t>
      </w:r>
      <w:r>
        <w:t xml:space="preserve">.godinu, koji je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10. </w:t>
      </w:r>
      <w:proofErr w:type="spellStart"/>
      <w:r>
        <w:t>stav</w:t>
      </w:r>
      <w:proofErr w:type="spellEnd"/>
      <w:r>
        <w:t xml:space="preserve"> 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internet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5F055A">
        <w:t>Tutin</w:t>
      </w:r>
      <w:r>
        <w:t xml:space="preserve">: </w:t>
      </w:r>
      <w:hyperlink r:id="rId9" w:history="1">
        <w:r w:rsidR="009122A3" w:rsidRPr="00B46DF9">
          <w:rPr>
            <w:rStyle w:val="Hyperlink"/>
          </w:rPr>
          <w:t>http://www.tutin.rs/vijesti/kontrolne-liste/</w:t>
        </w:r>
      </w:hyperlink>
    </w:p>
    <w:p w14:paraId="7F1A68DA" w14:textId="77777777" w:rsidR="00D1486D" w:rsidRDefault="00D1486D" w:rsidP="0043327F">
      <w:pPr>
        <w:pStyle w:val="NoSpacing"/>
        <w:ind w:firstLine="720"/>
        <w:jc w:val="both"/>
        <w:rPr>
          <w:rStyle w:val="Hyperlink"/>
        </w:rPr>
      </w:pPr>
    </w:p>
    <w:p w14:paraId="235CB008" w14:textId="77777777" w:rsidR="00D1486D" w:rsidRPr="0043327F" w:rsidRDefault="00D1486D" w:rsidP="0043327F">
      <w:pPr>
        <w:pStyle w:val="NoSpacing"/>
        <w:ind w:firstLine="720"/>
        <w:jc w:val="both"/>
      </w:pPr>
    </w:p>
    <w:p w14:paraId="41254FDE" w14:textId="6583211F" w:rsidR="0043327F" w:rsidRDefault="0043327F" w:rsidP="008E178F">
      <w:pPr>
        <w:pStyle w:val="NoSpacing"/>
        <w:rPr>
          <w:b/>
          <w:bCs/>
        </w:rPr>
      </w:pPr>
    </w:p>
    <w:p w14:paraId="32462D55" w14:textId="601C84F3" w:rsidR="00E70963" w:rsidRPr="005E0607" w:rsidRDefault="00E70963" w:rsidP="005E0607">
      <w:pPr>
        <w:pStyle w:val="NoSpacing"/>
        <w:jc w:val="center"/>
        <w:rPr>
          <w:b/>
          <w:bCs/>
        </w:rPr>
      </w:pPr>
      <w:r w:rsidRPr="005E0607">
        <w:rPr>
          <w:b/>
          <w:bCs/>
        </w:rPr>
        <w:lastRenderedPageBreak/>
        <w:t>INFORMACIJE I PODACI O RADU</w:t>
      </w:r>
    </w:p>
    <w:p w14:paraId="190D6E69" w14:textId="77777777" w:rsidR="00E70963" w:rsidRDefault="00E70963" w:rsidP="00E70963">
      <w:pPr>
        <w:pStyle w:val="NoSpacing"/>
        <w:jc w:val="both"/>
      </w:pPr>
    </w:p>
    <w:p w14:paraId="335165B2" w14:textId="4E921310" w:rsidR="00E70963" w:rsidRPr="005E0607" w:rsidRDefault="00E70963" w:rsidP="005E0607">
      <w:pPr>
        <w:pStyle w:val="NoSpacing"/>
        <w:jc w:val="center"/>
        <w:rPr>
          <w:b/>
          <w:bCs/>
        </w:rPr>
      </w:pPr>
      <w:proofErr w:type="spellStart"/>
      <w:r w:rsidRPr="005E0607">
        <w:rPr>
          <w:b/>
          <w:bCs/>
        </w:rPr>
        <w:t>Informacije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podaci</w:t>
      </w:r>
      <w:proofErr w:type="spellEnd"/>
      <w:r w:rsidRPr="005E0607">
        <w:rPr>
          <w:b/>
          <w:bCs/>
        </w:rPr>
        <w:t xml:space="preserve"> o </w:t>
      </w:r>
      <w:proofErr w:type="spellStart"/>
      <w:r w:rsidRPr="005E0607">
        <w:rPr>
          <w:b/>
          <w:bCs/>
        </w:rPr>
        <w:t>radu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inspektora</w:t>
      </w:r>
      <w:proofErr w:type="spellEnd"/>
      <w:r w:rsidRPr="005E0607">
        <w:rPr>
          <w:b/>
          <w:bCs/>
        </w:rPr>
        <w:t xml:space="preserve"> za </w:t>
      </w:r>
      <w:proofErr w:type="spellStart"/>
      <w:r w:rsidRPr="005E0607">
        <w:rPr>
          <w:b/>
          <w:bCs/>
        </w:rPr>
        <w:t>zaštitu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životne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sredine</w:t>
      </w:r>
      <w:proofErr w:type="spellEnd"/>
      <w:r w:rsidRPr="005E0607">
        <w:rPr>
          <w:b/>
          <w:bCs/>
        </w:rPr>
        <w:t xml:space="preserve"> za 202</w:t>
      </w:r>
      <w:r w:rsidR="005E0607">
        <w:rPr>
          <w:b/>
          <w:bCs/>
        </w:rPr>
        <w:t>3</w:t>
      </w:r>
      <w:r w:rsidRPr="005E0607">
        <w:rPr>
          <w:b/>
          <w:bCs/>
        </w:rPr>
        <w:t>.godinu:</w:t>
      </w:r>
    </w:p>
    <w:p w14:paraId="54B7364E" w14:textId="77777777" w:rsidR="00E70963" w:rsidRDefault="00E70963" w:rsidP="00E70963">
      <w:pPr>
        <w:pStyle w:val="NoSpacing"/>
        <w:jc w:val="both"/>
      </w:pPr>
    </w:p>
    <w:p w14:paraId="13AB239B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1) </w:t>
      </w:r>
      <w:proofErr w:type="spellStart"/>
      <w:r w:rsidRPr="005E0607">
        <w:rPr>
          <w:b/>
          <w:bCs/>
        </w:rPr>
        <w:t>Broj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sprečenih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ili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bitno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umanjenih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verovatnih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nastanaka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štetnih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posledica</w:t>
      </w:r>
      <w:proofErr w:type="spellEnd"/>
      <w:r w:rsidRPr="005E0607">
        <w:rPr>
          <w:b/>
          <w:bCs/>
        </w:rPr>
        <w:t xml:space="preserve"> po </w:t>
      </w:r>
      <w:proofErr w:type="spellStart"/>
      <w:r w:rsidRPr="005E0607">
        <w:rPr>
          <w:b/>
          <w:bCs/>
        </w:rPr>
        <w:t>zakonom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zaštićena</w:t>
      </w:r>
      <w:proofErr w:type="spellEnd"/>
      <w:r w:rsidRPr="005E0607">
        <w:rPr>
          <w:b/>
          <w:bCs/>
        </w:rPr>
        <w:t xml:space="preserve"> dobra, </w:t>
      </w:r>
      <w:proofErr w:type="spellStart"/>
      <w:r w:rsidRPr="005E0607">
        <w:rPr>
          <w:b/>
          <w:bCs/>
        </w:rPr>
        <w:t>prava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interese</w:t>
      </w:r>
      <w:proofErr w:type="spellEnd"/>
      <w:r w:rsidRPr="005E0607">
        <w:rPr>
          <w:b/>
          <w:bCs/>
        </w:rPr>
        <w:t xml:space="preserve"> (</w:t>
      </w:r>
      <w:proofErr w:type="spellStart"/>
      <w:r w:rsidRPr="005E0607">
        <w:rPr>
          <w:b/>
          <w:bCs/>
        </w:rPr>
        <w:t>preventivno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delovanje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inspekcije</w:t>
      </w:r>
      <w:proofErr w:type="spellEnd"/>
      <w:r w:rsidRPr="005E0607">
        <w:rPr>
          <w:b/>
          <w:bCs/>
        </w:rPr>
        <w:t>)</w:t>
      </w:r>
    </w:p>
    <w:p w14:paraId="2781BFE9" w14:textId="77777777" w:rsidR="00E70963" w:rsidRDefault="00E70963" w:rsidP="00E70963">
      <w:pPr>
        <w:pStyle w:val="NoSpacing"/>
        <w:jc w:val="both"/>
      </w:pPr>
    </w:p>
    <w:p w14:paraId="37AC15E0" w14:textId="77777777" w:rsidR="00E70963" w:rsidRDefault="00E70963" w:rsidP="005F055A">
      <w:pPr>
        <w:pStyle w:val="NoSpacing"/>
        <w:ind w:firstLine="720"/>
        <w:jc w:val="both"/>
      </w:pPr>
      <w:r>
        <w:t xml:space="preserve">Inspektor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vršio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edukativno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preventivno</w:t>
      </w:r>
      <w:proofErr w:type="spellEnd"/>
      <w:r>
        <w:t xml:space="preserve"> </w:t>
      </w:r>
      <w:proofErr w:type="spellStart"/>
      <w:r>
        <w:t>delovanje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inspekcijske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nadziranog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. </w:t>
      </w:r>
      <w:proofErr w:type="spellStart"/>
      <w:r>
        <w:t>Ovakvim</w:t>
      </w:r>
      <w:proofErr w:type="spellEnd"/>
      <w:r>
        <w:t xml:space="preserve"> </w:t>
      </w:r>
      <w:proofErr w:type="spellStart"/>
      <w:r>
        <w:t>preventivnim</w:t>
      </w:r>
      <w:proofErr w:type="spellEnd"/>
      <w:r>
        <w:t xml:space="preserve"> </w:t>
      </w:r>
      <w:proofErr w:type="spellStart"/>
      <w:r>
        <w:t>pristupom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nadziranog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 xml:space="preserve">, </w:t>
      </w:r>
      <w:proofErr w:type="spellStart"/>
      <w:r>
        <w:t>postiže</w:t>
      </w:r>
      <w:proofErr w:type="spellEnd"/>
      <w:r>
        <w:t xml:space="preserve"> se </w:t>
      </w:r>
      <w:proofErr w:type="spellStart"/>
      <w:r>
        <w:t>efikasnija</w:t>
      </w:r>
      <w:proofErr w:type="spellEnd"/>
      <w:r>
        <w:t xml:space="preserve"> </w:t>
      </w:r>
      <w:proofErr w:type="spellStart"/>
      <w:r>
        <w:t>primena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. </w:t>
      </w:r>
      <w:proofErr w:type="spellStart"/>
      <w:r>
        <w:t>Nadziranim</w:t>
      </w:r>
      <w:proofErr w:type="spellEnd"/>
      <w:r>
        <w:t xml:space="preserve"> </w:t>
      </w:r>
      <w:proofErr w:type="spellStart"/>
      <w:r>
        <w:t>subjektima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je </w:t>
      </w:r>
      <w:proofErr w:type="spellStart"/>
      <w:r>
        <w:t>ukazivano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vezano</w:t>
      </w:r>
      <w:proofErr w:type="spellEnd"/>
      <w:r>
        <w:t xml:space="preserve"> za </w:t>
      </w:r>
      <w:proofErr w:type="spellStart"/>
      <w:r>
        <w:t>primenu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važećih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 xml:space="preserve">. </w:t>
      </w:r>
    </w:p>
    <w:p w14:paraId="5FD0101C" w14:textId="224FCDF7" w:rsidR="00E70963" w:rsidRDefault="00E70963" w:rsidP="005F055A">
      <w:pPr>
        <w:pStyle w:val="NoSpacing"/>
        <w:ind w:firstLine="720"/>
        <w:jc w:val="both"/>
      </w:pPr>
      <w:proofErr w:type="spellStart"/>
      <w:r>
        <w:t>Preventivno</w:t>
      </w:r>
      <w:proofErr w:type="spellEnd"/>
      <w:r>
        <w:t xml:space="preserve"> </w:t>
      </w:r>
      <w:proofErr w:type="spellStart"/>
      <w:r>
        <w:t>delovanje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ostvareno</w:t>
      </w:r>
      <w:proofErr w:type="spellEnd"/>
      <w:r>
        <w:t xml:space="preserve"> je </w:t>
      </w:r>
      <w:proofErr w:type="spellStart"/>
      <w:r>
        <w:t>delom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informisanje</w:t>
      </w:r>
      <w:proofErr w:type="spellEnd"/>
      <w:r>
        <w:t xml:space="preserve"> </w:t>
      </w:r>
      <w:proofErr w:type="spellStart"/>
      <w:r>
        <w:t>javnosti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objavljivanjem</w:t>
      </w:r>
      <w:proofErr w:type="spellEnd"/>
      <w:r>
        <w:t xml:space="preserve"> Plana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za 202</w:t>
      </w:r>
      <w:r w:rsidR="005F055A">
        <w:t>3</w:t>
      </w:r>
      <w:r>
        <w:t xml:space="preserve">.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kontrolnih</w:t>
      </w:r>
      <w:proofErr w:type="spellEnd"/>
      <w:r>
        <w:t xml:space="preserve"> </w:t>
      </w:r>
      <w:proofErr w:type="spellStart"/>
      <w:r>
        <w:t>listi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>.</w:t>
      </w:r>
    </w:p>
    <w:p w14:paraId="4C06E4ED" w14:textId="43BB5647" w:rsidR="00E70963" w:rsidRDefault="00E70963" w:rsidP="00E70963">
      <w:pPr>
        <w:pStyle w:val="NoSpacing"/>
        <w:jc w:val="both"/>
      </w:pPr>
      <w:r>
        <w:t xml:space="preserve"> </w:t>
      </w:r>
      <w:r w:rsidR="005F055A">
        <w:tab/>
      </w: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, a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postizanja</w:t>
      </w:r>
      <w:proofErr w:type="spellEnd"/>
      <w:r>
        <w:t xml:space="preserve"> </w:t>
      </w:r>
      <w:proofErr w:type="spellStart"/>
      <w:r>
        <w:t>cilja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je </w:t>
      </w:r>
      <w:proofErr w:type="spellStart"/>
      <w:r>
        <w:t>izvršila</w:t>
      </w:r>
      <w:proofErr w:type="spellEnd"/>
      <w:r>
        <w:t xml:space="preserve"> </w:t>
      </w:r>
      <w:r w:rsidR="00372A80" w:rsidRPr="002D027E">
        <w:rPr>
          <w:bCs/>
        </w:rPr>
        <w:t>pet</w:t>
      </w:r>
      <w:r w:rsidRPr="002D027E">
        <w:rPr>
          <w:bCs/>
        </w:rPr>
        <w:t xml:space="preserve"> </w:t>
      </w:r>
      <w:proofErr w:type="spellStart"/>
      <w:r w:rsidRPr="002D027E">
        <w:rPr>
          <w:bCs/>
        </w:rPr>
        <w:t>služben</w:t>
      </w:r>
      <w:r w:rsidR="00372A80" w:rsidRPr="002D027E">
        <w:rPr>
          <w:bCs/>
        </w:rPr>
        <w:t>ih</w:t>
      </w:r>
      <w:proofErr w:type="spellEnd"/>
      <w:r w:rsidRPr="002D027E">
        <w:rPr>
          <w:bCs/>
        </w:rPr>
        <w:t xml:space="preserve"> </w:t>
      </w:r>
      <w:proofErr w:type="spellStart"/>
      <w:r w:rsidRPr="002D027E">
        <w:rPr>
          <w:bCs/>
        </w:rPr>
        <w:t>savetodavn</w:t>
      </w:r>
      <w:r w:rsidR="00372A80" w:rsidRPr="002D027E">
        <w:rPr>
          <w:bCs/>
        </w:rPr>
        <w:t>ih</w:t>
      </w:r>
      <w:proofErr w:type="spellEnd"/>
      <w:r w:rsidRPr="002D027E">
        <w:rPr>
          <w:bCs/>
        </w:rPr>
        <w:t xml:space="preserve"> </w:t>
      </w:r>
      <w:proofErr w:type="spellStart"/>
      <w:r w:rsidRPr="002D027E">
        <w:rPr>
          <w:bCs/>
        </w:rPr>
        <w:t>poset</w:t>
      </w:r>
      <w:r w:rsidR="00372A80" w:rsidRPr="002D027E">
        <w:rPr>
          <w:bCs/>
        </w:rPr>
        <w:t>a</w:t>
      </w:r>
      <w:proofErr w:type="spellEnd"/>
      <w:r w:rsidRPr="002D027E">
        <w:rPr>
          <w:bCs/>
        </w:rPr>
        <w:t>.</w:t>
      </w:r>
    </w:p>
    <w:p w14:paraId="3F89415F" w14:textId="6CE52FF9" w:rsidR="00E70963" w:rsidRDefault="00E70963" w:rsidP="005F055A">
      <w:pPr>
        <w:pStyle w:val="NoSpacing"/>
        <w:ind w:firstLine="720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služben</w:t>
      </w:r>
      <w:r w:rsidR="00372A80">
        <w:t>ih</w:t>
      </w:r>
      <w:proofErr w:type="spellEnd"/>
      <w:r>
        <w:t xml:space="preserve"> </w:t>
      </w:r>
      <w:proofErr w:type="spellStart"/>
      <w:r>
        <w:t>savetodavn</w:t>
      </w:r>
      <w:r w:rsidR="00372A80">
        <w:t>ih</w:t>
      </w:r>
      <w:proofErr w:type="spellEnd"/>
      <w:r>
        <w:t xml:space="preserve"> </w:t>
      </w:r>
      <w:proofErr w:type="spellStart"/>
      <w:r>
        <w:t>poset</w:t>
      </w:r>
      <w:r w:rsidR="00372A80">
        <w:t>a</w:t>
      </w:r>
      <w:proofErr w:type="spellEnd"/>
      <w:r>
        <w:t xml:space="preserve">,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otkrivene</w:t>
      </w:r>
      <w:proofErr w:type="spellEnd"/>
      <w:r>
        <w:t xml:space="preserve"> </w:t>
      </w:r>
      <w:proofErr w:type="spellStart"/>
      <w:r>
        <w:t>nepravilnosti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 </w:t>
      </w:r>
      <w:proofErr w:type="spellStart"/>
      <w:r>
        <w:t>nadziran</w:t>
      </w:r>
      <w:r w:rsidR="00372A80">
        <w:t>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ist</w:t>
      </w:r>
      <w:r w:rsidR="00372A80">
        <w:t>i</w:t>
      </w:r>
      <w:r>
        <w:t>m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dostavljani</w:t>
      </w:r>
      <w:proofErr w:type="spellEnd"/>
      <w:r>
        <w:t xml:space="preserve"> </w:t>
      </w:r>
      <w:proofErr w:type="spellStart"/>
      <w:r>
        <w:t>dopisi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preporukama</w:t>
      </w:r>
      <w:proofErr w:type="spellEnd"/>
      <w:r>
        <w:t>.</w:t>
      </w:r>
    </w:p>
    <w:p w14:paraId="0F9DBB39" w14:textId="77777777" w:rsidR="00E70963" w:rsidRDefault="00E70963" w:rsidP="00E70963">
      <w:pPr>
        <w:pStyle w:val="NoSpacing"/>
        <w:jc w:val="both"/>
      </w:pPr>
    </w:p>
    <w:p w14:paraId="312427CA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2) </w:t>
      </w:r>
      <w:proofErr w:type="spellStart"/>
      <w:r w:rsidRPr="005E0607">
        <w:rPr>
          <w:b/>
          <w:bCs/>
        </w:rPr>
        <w:t>Obaveštavanje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javnosti</w:t>
      </w:r>
      <w:proofErr w:type="spellEnd"/>
      <w:r w:rsidRPr="005E0607">
        <w:rPr>
          <w:b/>
          <w:bCs/>
        </w:rPr>
        <w:t xml:space="preserve">, </w:t>
      </w:r>
      <w:proofErr w:type="spellStart"/>
      <w:r w:rsidRPr="005E0607">
        <w:rPr>
          <w:b/>
          <w:bCs/>
        </w:rPr>
        <w:t>pružanje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stručne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savetodavne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podrške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nadziranim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subjektima</w:t>
      </w:r>
      <w:proofErr w:type="spellEnd"/>
      <w:r w:rsidRPr="005E0607">
        <w:rPr>
          <w:b/>
          <w:bCs/>
        </w:rPr>
        <w:t xml:space="preserve"> </w:t>
      </w:r>
    </w:p>
    <w:p w14:paraId="53173F0F" w14:textId="77777777" w:rsidR="00E70963" w:rsidRDefault="00E70963" w:rsidP="00E70963">
      <w:pPr>
        <w:pStyle w:val="NoSpacing"/>
        <w:jc w:val="both"/>
      </w:pPr>
    </w:p>
    <w:p w14:paraId="3DDAF1A6" w14:textId="2D435C6D" w:rsidR="00E70963" w:rsidRDefault="00E70963" w:rsidP="00D768D6">
      <w:pPr>
        <w:pStyle w:val="NoSpacing"/>
        <w:ind w:firstLine="720"/>
        <w:jc w:val="both"/>
      </w:pPr>
      <w:r>
        <w:t xml:space="preserve">U </w:t>
      </w:r>
      <w:proofErr w:type="spellStart"/>
      <w:r>
        <w:t>toku</w:t>
      </w:r>
      <w:proofErr w:type="spellEnd"/>
      <w:r>
        <w:t xml:space="preserve"> 202</w:t>
      </w:r>
      <w:r w:rsidR="005F055A">
        <w:t>3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je </w:t>
      </w:r>
      <w:proofErr w:type="spellStart"/>
      <w:r>
        <w:t>vršila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savetodavne</w:t>
      </w:r>
      <w:proofErr w:type="spellEnd"/>
      <w:r>
        <w:t xml:space="preserve"> </w:t>
      </w:r>
      <w:proofErr w:type="spellStart"/>
      <w:r>
        <w:t>posete</w:t>
      </w:r>
      <w:proofErr w:type="spellEnd"/>
      <w:r>
        <w:t xml:space="preserve">, </w:t>
      </w:r>
      <w:proofErr w:type="spellStart"/>
      <w:r>
        <w:t>sa</w:t>
      </w:r>
      <w:proofErr w:type="spellEnd"/>
      <w:r>
        <w:t xml:space="preserve">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preduzimanja</w:t>
      </w:r>
      <w:proofErr w:type="spellEnd"/>
      <w:r>
        <w:t xml:space="preserve"> </w:t>
      </w:r>
      <w:proofErr w:type="spellStart"/>
      <w:r>
        <w:t>preventivnih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usmerenih</w:t>
      </w:r>
      <w:proofErr w:type="spellEnd"/>
      <w:r>
        <w:t xml:space="preserve"> ka </w:t>
      </w:r>
      <w:proofErr w:type="spellStart"/>
      <w:r>
        <w:t>podsticanju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podržavanju</w:t>
      </w:r>
      <w:proofErr w:type="spellEnd"/>
      <w:r>
        <w:t xml:space="preserve"> </w:t>
      </w:r>
      <w:proofErr w:type="spellStart"/>
      <w:r>
        <w:t>zakonitosti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bezbednosti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postupanja</w:t>
      </w:r>
      <w:proofErr w:type="spellEnd"/>
      <w:r>
        <w:t xml:space="preserve"> u </w:t>
      </w:r>
      <w:proofErr w:type="spellStart"/>
      <w:r>
        <w:t>sprečavanju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štetnih</w:t>
      </w:r>
      <w:proofErr w:type="spellEnd"/>
      <w:r>
        <w:t xml:space="preserve"> </w:t>
      </w:r>
      <w:proofErr w:type="spellStart"/>
      <w:r>
        <w:t>posledica</w:t>
      </w:r>
      <w:proofErr w:type="spellEnd"/>
      <w:r>
        <w:t xml:space="preserve"> po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. </w:t>
      </w:r>
    </w:p>
    <w:p w14:paraId="137546EC" w14:textId="1BC37CCA" w:rsidR="00E70963" w:rsidRDefault="00E70963" w:rsidP="00D768D6">
      <w:pPr>
        <w:pStyle w:val="NoSpacing"/>
        <w:ind w:firstLine="720"/>
        <w:jc w:val="both"/>
      </w:pP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u 202</w:t>
      </w:r>
      <w:r w:rsidR="005F055A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izvršila</w:t>
      </w:r>
      <w:proofErr w:type="spellEnd"/>
      <w:r>
        <w:t xml:space="preserve"> je </w:t>
      </w:r>
      <w:r w:rsidR="00372A80" w:rsidRPr="002D027E">
        <w:rPr>
          <w:bCs/>
          <w:u w:val="single"/>
        </w:rPr>
        <w:t>5</w:t>
      </w:r>
      <w:r w:rsidRPr="002D027E">
        <w:rPr>
          <w:bCs/>
          <w:u w:val="single"/>
        </w:rPr>
        <w:t xml:space="preserve"> </w:t>
      </w:r>
      <w:proofErr w:type="spellStart"/>
      <w:r w:rsidRPr="002D027E">
        <w:rPr>
          <w:bCs/>
          <w:u w:val="single"/>
        </w:rPr>
        <w:t>služben</w:t>
      </w:r>
      <w:r w:rsidR="00372A80" w:rsidRPr="002D027E">
        <w:rPr>
          <w:bCs/>
          <w:u w:val="single"/>
        </w:rPr>
        <w:t>ih</w:t>
      </w:r>
      <w:proofErr w:type="spellEnd"/>
      <w:r w:rsidRPr="002D027E">
        <w:rPr>
          <w:bCs/>
          <w:u w:val="single"/>
        </w:rPr>
        <w:t xml:space="preserve"> </w:t>
      </w:r>
      <w:proofErr w:type="spellStart"/>
      <w:r w:rsidRPr="002D027E">
        <w:rPr>
          <w:bCs/>
          <w:u w:val="single"/>
        </w:rPr>
        <w:t>savetodavn</w:t>
      </w:r>
      <w:r w:rsidR="00372A80" w:rsidRPr="002D027E">
        <w:rPr>
          <w:bCs/>
          <w:u w:val="single"/>
        </w:rPr>
        <w:t>ih</w:t>
      </w:r>
      <w:proofErr w:type="spellEnd"/>
      <w:r w:rsidRPr="002D027E">
        <w:rPr>
          <w:bCs/>
          <w:u w:val="single"/>
        </w:rPr>
        <w:t xml:space="preserve"> </w:t>
      </w:r>
      <w:proofErr w:type="spellStart"/>
      <w:r w:rsidRPr="002D027E">
        <w:rPr>
          <w:bCs/>
          <w:u w:val="single"/>
        </w:rPr>
        <w:t>poset</w:t>
      </w:r>
      <w:r w:rsidR="00372A80" w:rsidRPr="002D027E">
        <w:rPr>
          <w:bCs/>
          <w:u w:val="single"/>
        </w:rPr>
        <w:t>a</w:t>
      </w:r>
      <w:proofErr w:type="spellEnd"/>
      <w:r w:rsidRPr="002D027E">
        <w:t>,</w:t>
      </w:r>
      <w:r>
        <w:t xml:space="preserve"> a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imala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savetodavnim</w:t>
      </w:r>
      <w:proofErr w:type="spellEnd"/>
      <w:r>
        <w:t xml:space="preserve"> </w:t>
      </w:r>
      <w:proofErr w:type="spellStart"/>
      <w:r>
        <w:t>posetama</w:t>
      </w:r>
      <w:proofErr w:type="spellEnd"/>
      <w:r>
        <w:t xml:space="preserve"> po </w:t>
      </w:r>
      <w:proofErr w:type="spellStart"/>
      <w:r>
        <w:t>zahtevu</w:t>
      </w:r>
      <w:proofErr w:type="spellEnd"/>
      <w:r>
        <w:t xml:space="preserve"> </w:t>
      </w:r>
      <w:proofErr w:type="spellStart"/>
      <w:r>
        <w:t>nadziranog</w:t>
      </w:r>
      <w:proofErr w:type="spellEnd"/>
      <w:r>
        <w:t xml:space="preserve"> </w:t>
      </w:r>
      <w:proofErr w:type="spellStart"/>
      <w:r>
        <w:t>subjekta</w:t>
      </w:r>
      <w:proofErr w:type="spellEnd"/>
      <w:r>
        <w:t>.</w:t>
      </w:r>
    </w:p>
    <w:p w14:paraId="152E8881" w14:textId="77777777" w:rsidR="00E70963" w:rsidRDefault="00E70963" w:rsidP="00D768D6">
      <w:pPr>
        <w:pStyle w:val="NoSpacing"/>
        <w:ind w:firstLine="720"/>
        <w:jc w:val="both"/>
      </w:pPr>
      <w:proofErr w:type="spellStart"/>
      <w:r>
        <w:t>Aktivnosti</w:t>
      </w:r>
      <w:proofErr w:type="spellEnd"/>
      <w:r>
        <w:t xml:space="preserve"> </w:t>
      </w:r>
      <w:proofErr w:type="spellStart"/>
      <w:r>
        <w:t>usmerene</w:t>
      </w:r>
      <w:proofErr w:type="spellEnd"/>
      <w:r>
        <w:t xml:space="preserve"> ka </w:t>
      </w:r>
      <w:proofErr w:type="spellStart"/>
      <w:r>
        <w:t>preventivnom</w:t>
      </w:r>
      <w:proofErr w:type="spellEnd"/>
      <w:r>
        <w:t xml:space="preserve"> </w:t>
      </w:r>
      <w:proofErr w:type="spellStart"/>
      <w:r>
        <w:t>delovanju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ogledale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u </w:t>
      </w:r>
      <w:proofErr w:type="spellStart"/>
      <w:r>
        <w:t>davanju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praktičnih</w:t>
      </w:r>
      <w:proofErr w:type="spellEnd"/>
      <w:r>
        <w:t xml:space="preserve"> </w:t>
      </w:r>
      <w:proofErr w:type="spellStart"/>
      <w:r>
        <w:t>saveta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preporuka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smernica</w:t>
      </w:r>
      <w:proofErr w:type="spellEnd"/>
      <w:r>
        <w:t xml:space="preserve"> za </w:t>
      </w:r>
      <w:proofErr w:type="spellStart"/>
      <w:r>
        <w:t>zbrinjavanje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,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 </w:t>
      </w:r>
      <w:proofErr w:type="spellStart"/>
      <w:r>
        <w:t>generisanim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obavljanju</w:t>
      </w:r>
      <w:proofErr w:type="spellEnd"/>
      <w:r>
        <w:t xml:space="preserve"> </w:t>
      </w:r>
      <w:proofErr w:type="spellStart"/>
      <w:r>
        <w:t>delatnosti</w:t>
      </w:r>
      <w:proofErr w:type="spellEnd"/>
      <w:r>
        <w:t xml:space="preserve">, </w:t>
      </w:r>
      <w:proofErr w:type="spellStart"/>
      <w:r>
        <w:t>izradi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popunjavanju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pitanjima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otpadom</w:t>
      </w:r>
      <w:proofErr w:type="spellEnd"/>
      <w:r>
        <w:t xml:space="preserve">. </w:t>
      </w:r>
    </w:p>
    <w:p w14:paraId="35377C41" w14:textId="77777777" w:rsidR="00E70963" w:rsidRDefault="00E70963" w:rsidP="00D768D6">
      <w:pPr>
        <w:pStyle w:val="NoSpacing"/>
        <w:ind w:firstLine="720"/>
        <w:jc w:val="both"/>
      </w:pPr>
      <w:proofErr w:type="spellStart"/>
      <w:r>
        <w:t>Preduzete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u </w:t>
      </w:r>
      <w:proofErr w:type="spellStart"/>
      <w:r>
        <w:t>izveštajnom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>:</w:t>
      </w:r>
    </w:p>
    <w:p w14:paraId="2CA696B7" w14:textId="3D04FA1C" w:rsidR="00E70963" w:rsidRDefault="00E70963" w:rsidP="00E70963">
      <w:pPr>
        <w:pStyle w:val="NoSpacing"/>
        <w:jc w:val="both"/>
      </w:pPr>
      <w:r>
        <w:t xml:space="preserve">- </w:t>
      </w:r>
      <w:r>
        <w:tab/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zvaničnih</w:t>
      </w:r>
      <w:proofErr w:type="spellEnd"/>
      <w:r>
        <w:t xml:space="preserve"> </w:t>
      </w:r>
      <w:proofErr w:type="spellStart"/>
      <w:r>
        <w:t>saopštenja</w:t>
      </w:r>
      <w:proofErr w:type="spellEnd"/>
      <w:r>
        <w:t xml:space="preserve">, </w:t>
      </w:r>
      <w:proofErr w:type="spellStart"/>
      <w:r>
        <w:t>intervju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sl. </w:t>
      </w:r>
      <w:r w:rsidR="002D027E">
        <w:t>,</w:t>
      </w:r>
      <w:proofErr w:type="spellStart"/>
      <w:r w:rsidR="002D027E">
        <w:t>o</w:t>
      </w:r>
      <w:r>
        <w:t>bjavljene</w:t>
      </w:r>
      <w:proofErr w:type="spellEnd"/>
      <w:proofErr w:type="gram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kontrolne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372A80">
        <w:t>Tutin</w:t>
      </w:r>
    </w:p>
    <w:p w14:paraId="0DF0C0CD" w14:textId="5C93DB21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stručne</w:t>
      </w:r>
      <w:proofErr w:type="spellEnd"/>
      <w:r>
        <w:t xml:space="preserve"> </w:t>
      </w:r>
      <w:proofErr w:type="spellStart"/>
      <w:r>
        <w:t>savetodavne</w:t>
      </w:r>
      <w:proofErr w:type="spellEnd"/>
      <w:r>
        <w:t xml:space="preserve"> </w:t>
      </w:r>
      <w:proofErr w:type="spellStart"/>
      <w:r>
        <w:t>posete</w:t>
      </w:r>
      <w:proofErr w:type="spellEnd"/>
      <w:r>
        <w:t xml:space="preserve"> - </w:t>
      </w:r>
      <w:r w:rsidR="00372A80">
        <w:t>5</w:t>
      </w:r>
    </w:p>
    <w:p w14:paraId="68213589" w14:textId="77777777" w:rsidR="00E70963" w:rsidRDefault="00E70963" w:rsidP="00E70963">
      <w:pPr>
        <w:pStyle w:val="NoSpacing"/>
        <w:jc w:val="both"/>
      </w:pPr>
      <w:r>
        <w:t xml:space="preserve">- </w:t>
      </w:r>
      <w:r>
        <w:tab/>
      </w:r>
      <w:proofErr w:type="spellStart"/>
      <w:r>
        <w:t>preventivni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- 0</w:t>
      </w:r>
    </w:p>
    <w:p w14:paraId="5D0FCA65" w14:textId="77777777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primljeni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o </w:t>
      </w:r>
      <w:proofErr w:type="spellStart"/>
      <w:r>
        <w:t>samokontroli</w:t>
      </w:r>
      <w:proofErr w:type="spellEnd"/>
      <w:r>
        <w:t xml:space="preserve"> </w:t>
      </w:r>
      <w:proofErr w:type="spellStart"/>
      <w:r>
        <w:t>nadziranih</w:t>
      </w:r>
      <w:proofErr w:type="spellEnd"/>
      <w:r>
        <w:t xml:space="preserve"> </w:t>
      </w:r>
      <w:proofErr w:type="spellStart"/>
      <w:r>
        <w:t>psubjeka</w:t>
      </w:r>
      <w:proofErr w:type="spellEnd"/>
      <w:r>
        <w:t xml:space="preserve"> – 0</w:t>
      </w:r>
    </w:p>
    <w:p w14:paraId="41D467AC" w14:textId="77777777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organizovanih</w:t>
      </w:r>
      <w:proofErr w:type="spellEnd"/>
      <w:r>
        <w:t xml:space="preserve"> </w:t>
      </w:r>
      <w:proofErr w:type="spellStart"/>
      <w:r>
        <w:t>obuka</w:t>
      </w:r>
      <w:proofErr w:type="spellEnd"/>
      <w:r>
        <w:t xml:space="preserve"> </w:t>
      </w:r>
      <w:proofErr w:type="spellStart"/>
      <w:r>
        <w:t>nadziranih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14:paraId="0C9A094E" w14:textId="7C869E51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publikovanih</w:t>
      </w:r>
      <w:proofErr w:type="spellEnd"/>
      <w:r>
        <w:t xml:space="preserve"> </w:t>
      </w:r>
      <w:proofErr w:type="spellStart"/>
      <w:r>
        <w:t>upustava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smernica</w:t>
      </w:r>
      <w:proofErr w:type="spellEnd"/>
      <w:r>
        <w:t xml:space="preserve"> za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postupanje</w:t>
      </w:r>
      <w:proofErr w:type="spellEnd"/>
      <w:r>
        <w:t xml:space="preserve">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objavljenih</w:t>
      </w:r>
      <w:proofErr w:type="spellEnd"/>
      <w:r>
        <w:t xml:space="preserve"> </w:t>
      </w:r>
      <w:proofErr w:type="spellStart"/>
      <w:r>
        <w:t>kontrolnih</w:t>
      </w:r>
      <w:proofErr w:type="spellEnd"/>
      <w:r>
        <w:t xml:space="preserve"> </w:t>
      </w:r>
      <w:proofErr w:type="spellStart"/>
      <w:r>
        <w:t>listi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D768D6">
        <w:t>Tutin</w:t>
      </w:r>
      <w:r>
        <w:t xml:space="preserve">; </w:t>
      </w:r>
    </w:p>
    <w:p w14:paraId="0C63A452" w14:textId="77777777" w:rsidR="00E70963" w:rsidRDefault="00E70963" w:rsidP="00E70963">
      <w:pPr>
        <w:pStyle w:val="NoSpacing"/>
        <w:jc w:val="both"/>
      </w:pPr>
    </w:p>
    <w:p w14:paraId="65A38CFE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3) </w:t>
      </w:r>
      <w:proofErr w:type="spellStart"/>
      <w:r w:rsidRPr="005E0607">
        <w:rPr>
          <w:b/>
          <w:bCs/>
        </w:rPr>
        <w:t>Nivo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usklađenosti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poslovanja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postupanja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nadziranih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subjekata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zakonom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drugim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propisom</w:t>
      </w:r>
      <w:proofErr w:type="spellEnd"/>
      <w:r w:rsidRPr="005E0607">
        <w:rPr>
          <w:b/>
          <w:bCs/>
        </w:rPr>
        <w:t xml:space="preserve">, koji se meri </w:t>
      </w:r>
      <w:proofErr w:type="spellStart"/>
      <w:r w:rsidRPr="005E0607">
        <w:rPr>
          <w:b/>
          <w:bCs/>
        </w:rPr>
        <w:t>pomoću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kontrolnih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listi</w:t>
      </w:r>
      <w:proofErr w:type="spellEnd"/>
    </w:p>
    <w:p w14:paraId="4E64D6BF" w14:textId="77777777" w:rsidR="00E70963" w:rsidRDefault="00E70963" w:rsidP="00E70963">
      <w:pPr>
        <w:pStyle w:val="NoSpacing"/>
        <w:jc w:val="both"/>
      </w:pPr>
    </w:p>
    <w:p w14:paraId="0D8F3B80" w14:textId="6ECFFBCA" w:rsidR="00E70963" w:rsidRDefault="00E70963" w:rsidP="00577359">
      <w:pPr>
        <w:pStyle w:val="NoSpacing"/>
        <w:ind w:firstLine="720"/>
        <w:jc w:val="both"/>
      </w:pPr>
      <w:proofErr w:type="spellStart"/>
      <w:r>
        <w:t>Tokom</w:t>
      </w:r>
      <w:proofErr w:type="spellEnd"/>
      <w:r>
        <w:t xml:space="preserve"> 202</w:t>
      </w:r>
      <w:r w:rsidR="005F055A">
        <w:t>3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nastavljen</w:t>
      </w:r>
      <w:proofErr w:type="spellEnd"/>
      <w:r>
        <w:t xml:space="preserve"> je </w:t>
      </w:r>
      <w:proofErr w:type="spellStart"/>
      <w:r>
        <w:t>kontinuitet</w:t>
      </w:r>
      <w:proofErr w:type="spellEnd"/>
      <w:r>
        <w:t xml:space="preserve"> u </w:t>
      </w:r>
      <w:proofErr w:type="spellStart"/>
      <w:r>
        <w:t>kontrolama</w:t>
      </w:r>
      <w:proofErr w:type="spellEnd"/>
      <w:r>
        <w:t xml:space="preserve"> </w:t>
      </w:r>
      <w:proofErr w:type="spellStart"/>
      <w:r>
        <w:t>pravnih</w:t>
      </w:r>
      <w:proofErr w:type="spellEnd"/>
      <w:r>
        <w:t xml:space="preserve"> </w:t>
      </w:r>
      <w:proofErr w:type="spellStart"/>
      <w:r>
        <w:t>subjekata</w:t>
      </w:r>
      <w:proofErr w:type="spellEnd"/>
      <w:r>
        <w:t xml:space="preserve">, a </w:t>
      </w:r>
      <w:proofErr w:type="spellStart"/>
      <w:r>
        <w:t>i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je </w:t>
      </w:r>
      <w:proofErr w:type="spellStart"/>
      <w:r>
        <w:t>upravnim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dovedeno</w:t>
      </w:r>
      <w:proofErr w:type="spellEnd"/>
      <w:r>
        <w:t xml:space="preserve"> u </w:t>
      </w:r>
      <w:proofErr w:type="spellStart"/>
      <w:r>
        <w:t>visok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usklađenosti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. Subjekti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obraćali</w:t>
      </w:r>
      <w:proofErr w:type="spellEnd"/>
      <w:r>
        <w:t xml:space="preserve"> </w:t>
      </w:r>
      <w:proofErr w:type="spellStart"/>
      <w:r>
        <w:t>inspektoru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nedoumicom</w:t>
      </w:r>
      <w:proofErr w:type="spellEnd"/>
      <w:r>
        <w:t xml:space="preserve"> u </w:t>
      </w:r>
      <w:proofErr w:type="spellStart"/>
      <w:r>
        <w:t>njihovom</w:t>
      </w:r>
      <w:proofErr w:type="spellEnd"/>
      <w:r>
        <w:t xml:space="preserve"> </w:t>
      </w:r>
      <w:proofErr w:type="spellStart"/>
      <w:r>
        <w:t>poslovanju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eventualni</w:t>
      </w:r>
      <w:proofErr w:type="spellEnd"/>
      <w:r>
        <w:t xml:space="preserve"> </w:t>
      </w:r>
      <w:proofErr w:type="spellStart"/>
      <w:r>
        <w:t>propusti</w:t>
      </w:r>
      <w:proofErr w:type="spellEnd"/>
      <w:r>
        <w:t xml:space="preserve"> </w:t>
      </w:r>
      <w:proofErr w:type="spellStart"/>
      <w:r>
        <w:t>bili</w:t>
      </w:r>
      <w:proofErr w:type="spellEnd"/>
      <w:r>
        <w:t xml:space="preserve"> </w:t>
      </w:r>
      <w:proofErr w:type="spellStart"/>
      <w:r>
        <w:t>ispravljeni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</w:t>
      </w:r>
      <w:proofErr w:type="spellStart"/>
      <w:r>
        <w:t>njihov</w:t>
      </w:r>
      <w:proofErr w:type="spellEnd"/>
      <w:r>
        <w:t xml:space="preserve"> rad bio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. </w:t>
      </w:r>
    </w:p>
    <w:p w14:paraId="4AEA565F" w14:textId="77777777" w:rsidR="00E70963" w:rsidRDefault="00E70963" w:rsidP="00577359">
      <w:pPr>
        <w:pStyle w:val="NoSpacing"/>
        <w:ind w:firstLine="720"/>
        <w:jc w:val="both"/>
      </w:pPr>
      <w:proofErr w:type="spellStart"/>
      <w:r>
        <w:lastRenderedPageBreak/>
        <w:t>Redovni</w:t>
      </w:r>
      <w:proofErr w:type="spellEnd"/>
      <w:r>
        <w:t xml:space="preserve">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</w:t>
      </w:r>
      <w:proofErr w:type="spellStart"/>
      <w:r>
        <w:t>vršeni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izdatim</w:t>
      </w:r>
      <w:proofErr w:type="spellEnd"/>
      <w:r>
        <w:t xml:space="preserve"> </w:t>
      </w:r>
      <w:proofErr w:type="spellStart"/>
      <w:r>
        <w:t>nalozima</w:t>
      </w:r>
      <w:proofErr w:type="spellEnd"/>
      <w:r>
        <w:t xml:space="preserve"> za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nadzirani</w:t>
      </w:r>
      <w:proofErr w:type="spellEnd"/>
      <w:r>
        <w:t xml:space="preserve">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o </w:t>
      </w:r>
      <w:proofErr w:type="spellStart"/>
      <w:r>
        <w:t>planiranim</w:t>
      </w:r>
      <w:proofErr w:type="spellEnd"/>
      <w:r>
        <w:t xml:space="preserve"> </w:t>
      </w:r>
      <w:proofErr w:type="spellStart"/>
      <w:r>
        <w:t>inspekcijskim</w:t>
      </w:r>
      <w:proofErr w:type="spellEnd"/>
      <w:r>
        <w:t xml:space="preserve"> </w:t>
      </w:r>
      <w:proofErr w:type="spellStart"/>
      <w:r>
        <w:t>nadzorima</w:t>
      </w:r>
      <w:proofErr w:type="spellEnd"/>
      <w:r>
        <w:t xml:space="preserve"> </w:t>
      </w:r>
      <w:proofErr w:type="spellStart"/>
      <w:r>
        <w:t>obavešteni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propisani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propisanim</w:t>
      </w:r>
      <w:proofErr w:type="spellEnd"/>
      <w:r>
        <w:t xml:space="preserve"> </w:t>
      </w:r>
      <w:proofErr w:type="spellStart"/>
      <w:r>
        <w:t>rokovima</w:t>
      </w:r>
      <w:proofErr w:type="spellEnd"/>
      <w:r>
        <w:t xml:space="preserve">,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. </w:t>
      </w:r>
    </w:p>
    <w:p w14:paraId="1B004F2F" w14:textId="263E8CC3" w:rsidR="00E70963" w:rsidRDefault="00E70963" w:rsidP="00577359">
      <w:pPr>
        <w:pStyle w:val="NoSpacing"/>
        <w:ind w:firstLine="720"/>
        <w:jc w:val="both"/>
      </w:pPr>
      <w:r>
        <w:t xml:space="preserve">Sami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</w:t>
      </w:r>
      <w:proofErr w:type="spellStart"/>
      <w:r>
        <w:t>vršeni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kontrolnim</w:t>
      </w:r>
      <w:proofErr w:type="spellEnd"/>
      <w:r>
        <w:t xml:space="preserve"> </w:t>
      </w:r>
      <w:proofErr w:type="spellStart"/>
      <w:r>
        <w:t>listama</w:t>
      </w:r>
      <w:proofErr w:type="spellEnd"/>
      <w:r>
        <w:t xml:space="preserve"> za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objavljenim</w:t>
      </w:r>
      <w:proofErr w:type="spellEnd"/>
      <w:r>
        <w:t xml:space="preserve"> </w:t>
      </w:r>
      <w:proofErr w:type="spellStart"/>
      <w:r>
        <w:t>kontrolnim</w:t>
      </w:r>
      <w:proofErr w:type="spellEnd"/>
      <w:r>
        <w:t xml:space="preserve"> </w:t>
      </w:r>
      <w:proofErr w:type="spellStart"/>
      <w:r>
        <w:t>listama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577359">
        <w:t>Tutin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>.</w:t>
      </w:r>
    </w:p>
    <w:p w14:paraId="75EA7B4A" w14:textId="36DD0573" w:rsidR="00E70963" w:rsidRDefault="00E70963" w:rsidP="00577359">
      <w:pPr>
        <w:pStyle w:val="NoSpacing"/>
        <w:ind w:firstLine="720"/>
        <w:jc w:val="both"/>
      </w:pPr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godišnjim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za 202</w:t>
      </w:r>
      <w:r w:rsidR="005F055A">
        <w:t>3</w:t>
      </w:r>
      <w:r>
        <w:t xml:space="preserve">.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obavljani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nadzori</w:t>
      </w:r>
      <w:proofErr w:type="spellEnd"/>
      <w:r>
        <w:t xml:space="preserve"> u </w:t>
      </w:r>
      <w:proofErr w:type="spellStart"/>
      <w:r>
        <w:t>različitim</w:t>
      </w:r>
      <w:proofErr w:type="spellEnd"/>
      <w:r>
        <w:t xml:space="preserve"> </w:t>
      </w:r>
      <w:proofErr w:type="spellStart"/>
      <w:r>
        <w:t>oblastima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</w:p>
    <w:p w14:paraId="3F88AF15" w14:textId="77777777" w:rsidR="00E70963" w:rsidRDefault="00E70963" w:rsidP="00E70963">
      <w:pPr>
        <w:pStyle w:val="NoSpacing"/>
        <w:jc w:val="both"/>
      </w:pPr>
    </w:p>
    <w:p w14:paraId="79B1935D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4) </w:t>
      </w:r>
      <w:proofErr w:type="spellStart"/>
      <w:r w:rsidRPr="005E0607">
        <w:rPr>
          <w:b/>
          <w:bCs/>
        </w:rPr>
        <w:t>Broj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otkrivenih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otklonjenih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ili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bitno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umanjenih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nastalih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štetnih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posledica</w:t>
      </w:r>
      <w:proofErr w:type="spellEnd"/>
      <w:r w:rsidRPr="005E0607">
        <w:rPr>
          <w:b/>
          <w:bCs/>
        </w:rPr>
        <w:t xml:space="preserve"> po </w:t>
      </w:r>
      <w:proofErr w:type="spellStart"/>
      <w:r w:rsidRPr="005E0607">
        <w:rPr>
          <w:b/>
          <w:bCs/>
        </w:rPr>
        <w:t>zakonom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zaštićena</w:t>
      </w:r>
      <w:proofErr w:type="spellEnd"/>
      <w:r w:rsidRPr="005E0607">
        <w:rPr>
          <w:b/>
          <w:bCs/>
        </w:rPr>
        <w:t xml:space="preserve"> dobra, </w:t>
      </w:r>
      <w:proofErr w:type="spellStart"/>
      <w:r w:rsidRPr="005E0607">
        <w:rPr>
          <w:b/>
          <w:bCs/>
        </w:rPr>
        <w:t>prava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interese</w:t>
      </w:r>
      <w:proofErr w:type="spellEnd"/>
      <w:r w:rsidRPr="005E0607">
        <w:rPr>
          <w:b/>
          <w:bCs/>
        </w:rPr>
        <w:t xml:space="preserve"> (</w:t>
      </w:r>
      <w:proofErr w:type="spellStart"/>
      <w:r w:rsidRPr="005E0607">
        <w:rPr>
          <w:b/>
          <w:bCs/>
        </w:rPr>
        <w:t>korektivno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delovanje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inspekcije</w:t>
      </w:r>
      <w:proofErr w:type="spellEnd"/>
      <w:r w:rsidRPr="005E0607">
        <w:rPr>
          <w:b/>
          <w:bCs/>
        </w:rPr>
        <w:t>)</w:t>
      </w:r>
    </w:p>
    <w:p w14:paraId="2C6F55B7" w14:textId="77777777" w:rsidR="00E70963" w:rsidRDefault="00E70963" w:rsidP="00E70963">
      <w:pPr>
        <w:pStyle w:val="NoSpacing"/>
        <w:jc w:val="both"/>
      </w:pPr>
    </w:p>
    <w:p w14:paraId="71945A1E" w14:textId="391EA226" w:rsidR="00E70963" w:rsidRDefault="00E70963" w:rsidP="00894890">
      <w:pPr>
        <w:pStyle w:val="NoSpacing"/>
        <w:ind w:firstLine="720"/>
        <w:jc w:val="both"/>
      </w:pPr>
      <w:proofErr w:type="spellStart"/>
      <w:r>
        <w:t>Tokom</w:t>
      </w:r>
      <w:proofErr w:type="spellEnd"/>
      <w:r>
        <w:t xml:space="preserve"> 202</w:t>
      </w:r>
      <w:r w:rsidR="005F055A">
        <w:t>3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postupala</w:t>
      </w:r>
      <w:proofErr w:type="spellEnd"/>
      <w:r>
        <w:t xml:space="preserve"> je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svojim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,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ovlašćenjima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u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utvrđenog</w:t>
      </w:r>
      <w:proofErr w:type="spellEnd"/>
      <w:r>
        <w:t xml:space="preserve"> </w:t>
      </w:r>
      <w:proofErr w:type="spellStart"/>
      <w:r>
        <w:t>činjeničnog</w:t>
      </w:r>
      <w:proofErr w:type="spellEnd"/>
      <w:r>
        <w:t xml:space="preserve"> </w:t>
      </w:r>
      <w:proofErr w:type="spellStart"/>
      <w:r>
        <w:t>stanja</w:t>
      </w:r>
      <w:proofErr w:type="spellEnd"/>
      <w:r>
        <w:t xml:space="preserve"> </w:t>
      </w:r>
      <w:proofErr w:type="spellStart"/>
      <w:r>
        <w:t>donosila</w:t>
      </w:r>
      <w:proofErr w:type="spellEnd"/>
      <w:r>
        <w:t xml:space="preserve">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naređenim</w:t>
      </w:r>
      <w:proofErr w:type="spellEnd"/>
      <w:r>
        <w:t xml:space="preserve"> </w:t>
      </w:r>
      <w:proofErr w:type="spellStart"/>
      <w:r>
        <w:t>merama</w:t>
      </w:r>
      <w:proofErr w:type="spellEnd"/>
      <w:r>
        <w:t xml:space="preserve"> </w:t>
      </w:r>
      <w:proofErr w:type="spellStart"/>
      <w:r>
        <w:t>nadziranim</w:t>
      </w:r>
      <w:proofErr w:type="spellEnd"/>
      <w:r>
        <w:t xml:space="preserve"> </w:t>
      </w:r>
      <w:proofErr w:type="spellStart"/>
      <w:r>
        <w:t>subjektima</w:t>
      </w:r>
      <w:proofErr w:type="spellEnd"/>
      <w:r>
        <w:t xml:space="preserve"> za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saglasno</w:t>
      </w:r>
      <w:proofErr w:type="spellEnd"/>
      <w:r>
        <w:t xml:space="preserve"> </w:t>
      </w:r>
      <w:proofErr w:type="spellStart"/>
      <w:r>
        <w:t>zakonskim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. Inspektor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proofErr w:type="gramStart"/>
      <w:r>
        <w:t>sredine</w:t>
      </w:r>
      <w:proofErr w:type="spellEnd"/>
      <w:r>
        <w:t xml:space="preserve">  u</w:t>
      </w:r>
      <w:proofErr w:type="gramEnd"/>
      <w:r>
        <w:t xml:space="preserve"> 202</w:t>
      </w:r>
      <w:r w:rsidR="007363DF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naložio</w:t>
      </w:r>
      <w:proofErr w:type="spellEnd"/>
      <w:r>
        <w:t xml:space="preserve"> je:</w:t>
      </w:r>
    </w:p>
    <w:p w14:paraId="635216E0" w14:textId="6FB6A001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Korektivne</w:t>
      </w:r>
      <w:proofErr w:type="spellEnd"/>
      <w:r>
        <w:t xml:space="preserve"> mere – </w:t>
      </w:r>
      <w:r w:rsidR="00D1486D">
        <w:t>4(</w:t>
      </w:r>
      <w:proofErr w:type="spellStart"/>
      <w:r w:rsidR="00372A80">
        <w:t>četiri</w:t>
      </w:r>
      <w:proofErr w:type="spellEnd"/>
      <w:r w:rsidR="00D1486D">
        <w:t>)</w:t>
      </w:r>
      <w:r w:rsidR="00372A80">
        <w:t xml:space="preserve"> </w:t>
      </w:r>
      <w:r>
        <w:t>mer</w:t>
      </w:r>
      <w:r w:rsidR="00372A80">
        <w:t>e</w:t>
      </w:r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uočenih</w:t>
      </w:r>
      <w:proofErr w:type="spellEnd"/>
      <w:r>
        <w:t xml:space="preserve"> </w:t>
      </w:r>
      <w:proofErr w:type="spellStart"/>
      <w:r>
        <w:t>nezakonitosti</w:t>
      </w:r>
      <w:proofErr w:type="spellEnd"/>
      <w:r>
        <w:t xml:space="preserve">, </w:t>
      </w:r>
    </w:p>
    <w:p w14:paraId="5F447174" w14:textId="77777777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posebnih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naredbi</w:t>
      </w:r>
      <w:proofErr w:type="spellEnd"/>
      <w:r>
        <w:t xml:space="preserve">, </w:t>
      </w:r>
      <w:proofErr w:type="spellStart"/>
      <w:r>
        <w:t>zabrane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zaplene</w:t>
      </w:r>
      <w:proofErr w:type="spellEnd"/>
      <w:r>
        <w:t>:</w:t>
      </w:r>
    </w:p>
    <w:p w14:paraId="5FC1666D" w14:textId="704BDEDB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</w:t>
      </w:r>
      <w:proofErr w:type="spellStart"/>
      <w:r>
        <w:t>usmerenih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zaštiti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tr</w:t>
      </w:r>
      <w:r w:rsidR="00894890">
        <w:t>e</w:t>
      </w:r>
      <w:r>
        <w:t>ćih</w:t>
      </w:r>
      <w:proofErr w:type="spellEnd"/>
      <w:r>
        <w:t xml:space="preserve"> </w:t>
      </w:r>
      <w:proofErr w:type="spellStart"/>
      <w:r>
        <w:t>lica</w:t>
      </w:r>
      <w:proofErr w:type="spellEnd"/>
      <w:r>
        <w:t>;</w:t>
      </w:r>
    </w:p>
    <w:p w14:paraId="19834408" w14:textId="77777777" w:rsidR="00E70963" w:rsidRDefault="00E70963" w:rsidP="00E70963">
      <w:pPr>
        <w:pStyle w:val="NoSpacing"/>
        <w:jc w:val="both"/>
      </w:pPr>
      <w:r>
        <w:t>-</w:t>
      </w:r>
      <w:r>
        <w:tab/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primedbi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zapisnik</w:t>
      </w:r>
      <w:proofErr w:type="spellEnd"/>
      <w:r>
        <w:t xml:space="preserve"> pa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izmene</w:t>
      </w:r>
      <w:proofErr w:type="spellEnd"/>
      <w:r>
        <w:t xml:space="preserve"> </w:t>
      </w:r>
      <w:proofErr w:type="spellStart"/>
      <w:r>
        <w:t>izrečenih</w:t>
      </w:r>
      <w:proofErr w:type="spellEnd"/>
      <w:r>
        <w:t xml:space="preserve"> </w:t>
      </w:r>
      <w:proofErr w:type="spellStart"/>
      <w:r>
        <w:t>mera</w:t>
      </w:r>
      <w:proofErr w:type="spellEnd"/>
      <w:r>
        <w:t xml:space="preserve">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nadziranih</w:t>
      </w:r>
      <w:proofErr w:type="spellEnd"/>
      <w:r>
        <w:t xml:space="preserve"> </w:t>
      </w:r>
      <w:proofErr w:type="spellStart"/>
      <w:r>
        <w:t>subjekata</w:t>
      </w:r>
      <w:proofErr w:type="spellEnd"/>
    </w:p>
    <w:p w14:paraId="30FFE031" w14:textId="77777777" w:rsidR="00E70963" w:rsidRDefault="00E70963" w:rsidP="00E70963">
      <w:pPr>
        <w:pStyle w:val="NoSpacing"/>
        <w:jc w:val="both"/>
      </w:pPr>
    </w:p>
    <w:p w14:paraId="634880A1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5) </w:t>
      </w:r>
      <w:proofErr w:type="spellStart"/>
      <w:r w:rsidRPr="005E0607">
        <w:rPr>
          <w:b/>
          <w:bCs/>
        </w:rPr>
        <w:t>Broj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utvrđenih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neregistrovanih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subjekata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merama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sprovedenim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prema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njima</w:t>
      </w:r>
      <w:proofErr w:type="spellEnd"/>
    </w:p>
    <w:p w14:paraId="464AEE63" w14:textId="77777777" w:rsidR="00787041" w:rsidRDefault="00787041" w:rsidP="00E70963">
      <w:pPr>
        <w:pStyle w:val="NoSpacing"/>
        <w:jc w:val="both"/>
      </w:pPr>
    </w:p>
    <w:p w14:paraId="6F7B8F9B" w14:textId="73BBD919" w:rsidR="00E70963" w:rsidRPr="00787041" w:rsidRDefault="007C2516" w:rsidP="00072137">
      <w:pPr>
        <w:pStyle w:val="NoSpacing"/>
        <w:ind w:firstLine="720"/>
        <w:jc w:val="both"/>
      </w:pPr>
      <w:r>
        <w:t>-</w:t>
      </w:r>
      <w:proofErr w:type="spellStart"/>
      <w:r w:rsidR="00072137">
        <w:t>Inspekcija</w:t>
      </w:r>
      <w:proofErr w:type="spellEnd"/>
      <w:r w:rsidR="00072137">
        <w:t xml:space="preserve"> za </w:t>
      </w:r>
      <w:proofErr w:type="spellStart"/>
      <w:r w:rsidR="00072137">
        <w:t>zaštitu</w:t>
      </w:r>
      <w:proofErr w:type="spellEnd"/>
      <w:r w:rsidR="00072137">
        <w:t xml:space="preserve"> </w:t>
      </w:r>
      <w:proofErr w:type="spellStart"/>
      <w:r w:rsidR="00072137">
        <w:t>životne</w:t>
      </w:r>
      <w:proofErr w:type="spellEnd"/>
      <w:r w:rsidR="00072137">
        <w:t xml:space="preserve"> </w:t>
      </w:r>
      <w:proofErr w:type="spellStart"/>
      <w:r w:rsidR="00072137">
        <w:t>sredine</w:t>
      </w:r>
      <w:proofErr w:type="spellEnd"/>
      <w:r w:rsidR="00072137">
        <w:t xml:space="preserve"> </w:t>
      </w:r>
      <w:proofErr w:type="spellStart"/>
      <w:r w:rsidR="00E70963" w:rsidRPr="00787041">
        <w:t>godini</w:t>
      </w:r>
      <w:proofErr w:type="spellEnd"/>
      <w:r w:rsidR="00E70963" w:rsidRPr="00787041">
        <w:t xml:space="preserve"> </w:t>
      </w:r>
      <w:proofErr w:type="spellStart"/>
      <w:r w:rsidR="00E70963" w:rsidRPr="00787041">
        <w:t>nije</w:t>
      </w:r>
      <w:proofErr w:type="spellEnd"/>
      <w:r w:rsidR="00E70963" w:rsidRPr="00787041">
        <w:t xml:space="preserve"> </w:t>
      </w:r>
      <w:proofErr w:type="spellStart"/>
      <w:r w:rsidR="00072137">
        <w:t>utvrdila</w:t>
      </w:r>
      <w:proofErr w:type="spellEnd"/>
      <w:r w:rsidR="00E70963" w:rsidRPr="00787041">
        <w:t xml:space="preserve"> </w:t>
      </w:r>
      <w:proofErr w:type="spellStart"/>
      <w:r w:rsidR="00072137">
        <w:t>postojanje</w:t>
      </w:r>
      <w:proofErr w:type="spellEnd"/>
      <w:r w:rsidR="00E70963" w:rsidRPr="00787041">
        <w:t xml:space="preserve"> </w:t>
      </w:r>
      <w:proofErr w:type="spellStart"/>
      <w:r w:rsidR="00E70963" w:rsidRPr="00787041">
        <w:t>neregistrovan</w:t>
      </w:r>
      <w:proofErr w:type="spellEnd"/>
      <w:r w:rsidR="00E70963" w:rsidRPr="00787041">
        <w:t xml:space="preserve"> </w:t>
      </w:r>
      <w:proofErr w:type="spellStart"/>
      <w:r w:rsidR="00E70963" w:rsidRPr="00787041">
        <w:t>subjekat</w:t>
      </w:r>
      <w:r w:rsidR="00072137">
        <w:t>a</w:t>
      </w:r>
      <w:proofErr w:type="spellEnd"/>
      <w:r w:rsidR="00072137">
        <w:t xml:space="preserve"> </w:t>
      </w:r>
      <w:r w:rsidR="00072137" w:rsidRPr="00072137">
        <w:t>u 2023</w:t>
      </w:r>
      <w:r w:rsidR="00E70963" w:rsidRPr="00787041">
        <w:t>.</w:t>
      </w:r>
    </w:p>
    <w:p w14:paraId="7BB4C093" w14:textId="77777777" w:rsidR="00E70963" w:rsidRDefault="00E70963" w:rsidP="00E70963">
      <w:pPr>
        <w:pStyle w:val="NoSpacing"/>
        <w:jc w:val="both"/>
      </w:pPr>
    </w:p>
    <w:p w14:paraId="604CD371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6) Mere </w:t>
      </w:r>
      <w:proofErr w:type="spellStart"/>
      <w:r w:rsidRPr="005E0607">
        <w:rPr>
          <w:b/>
          <w:bCs/>
        </w:rPr>
        <w:t>preduzete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radi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ujednačavanja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prakse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inspekcijskog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njihovom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dejstvu</w:t>
      </w:r>
      <w:proofErr w:type="spellEnd"/>
    </w:p>
    <w:p w14:paraId="7E58829E" w14:textId="77777777" w:rsidR="00E70963" w:rsidRDefault="00E70963" w:rsidP="00E70963">
      <w:pPr>
        <w:pStyle w:val="NoSpacing"/>
        <w:jc w:val="both"/>
      </w:pPr>
    </w:p>
    <w:p w14:paraId="2497EF2C" w14:textId="79F98E3E" w:rsidR="00E70963" w:rsidRDefault="00E70963" w:rsidP="007363DF">
      <w:pPr>
        <w:pStyle w:val="NoSpacing"/>
        <w:ind w:firstLine="720"/>
        <w:jc w:val="both"/>
      </w:pPr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,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ujednačavanja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u </w:t>
      </w:r>
      <w:proofErr w:type="spellStart"/>
      <w:r>
        <w:t>nadzorima</w:t>
      </w:r>
      <w:proofErr w:type="spellEnd"/>
      <w:r>
        <w:t xml:space="preserve"> je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kontrolne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,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7363DF">
        <w:t>Tutin</w:t>
      </w:r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dostupne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operaterima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samokontrole</w:t>
      </w:r>
      <w:proofErr w:type="spellEnd"/>
      <w:r>
        <w:t>.</w:t>
      </w:r>
    </w:p>
    <w:p w14:paraId="73BF238D" w14:textId="77777777" w:rsidR="00E70963" w:rsidRDefault="00E70963" w:rsidP="007363DF">
      <w:pPr>
        <w:pStyle w:val="NoSpacing"/>
        <w:ind w:firstLine="720"/>
        <w:jc w:val="both"/>
      </w:pPr>
      <w:r>
        <w:t xml:space="preserve">Inspektor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je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identične</w:t>
      </w:r>
      <w:proofErr w:type="spellEnd"/>
      <w:r>
        <w:t xml:space="preserve"> mere u </w:t>
      </w:r>
      <w:proofErr w:type="spellStart"/>
      <w:r>
        <w:t>istim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bi se </w:t>
      </w:r>
      <w:proofErr w:type="spellStart"/>
      <w:r>
        <w:t>postigla</w:t>
      </w:r>
      <w:proofErr w:type="spellEnd"/>
      <w:r>
        <w:t xml:space="preserve"> </w:t>
      </w:r>
      <w:proofErr w:type="spellStart"/>
      <w:r>
        <w:t>pravičnost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ujednačenost</w:t>
      </w:r>
      <w:proofErr w:type="spellEnd"/>
      <w:r>
        <w:t xml:space="preserve"> u </w:t>
      </w:r>
      <w:proofErr w:type="spellStart"/>
      <w:r>
        <w:t>radu</w:t>
      </w:r>
      <w:proofErr w:type="spellEnd"/>
      <w:r>
        <w:t xml:space="preserve">. </w:t>
      </w:r>
    </w:p>
    <w:p w14:paraId="06C3DDC0" w14:textId="77777777" w:rsidR="00E70963" w:rsidRDefault="00E70963" w:rsidP="00E70963">
      <w:pPr>
        <w:pStyle w:val="NoSpacing"/>
        <w:jc w:val="both"/>
      </w:pPr>
    </w:p>
    <w:p w14:paraId="231EB63D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7) </w:t>
      </w:r>
      <w:proofErr w:type="spellStart"/>
      <w:r w:rsidRPr="005E0607">
        <w:rPr>
          <w:b/>
          <w:bCs/>
        </w:rPr>
        <w:t>Ostvarenje</w:t>
      </w:r>
      <w:proofErr w:type="spellEnd"/>
      <w:r w:rsidRPr="005E0607">
        <w:rPr>
          <w:b/>
          <w:bCs/>
        </w:rPr>
        <w:t xml:space="preserve"> plana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valjanosti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planiranja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inspekcijskog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nadzora</w:t>
      </w:r>
      <w:proofErr w:type="spellEnd"/>
      <w:r w:rsidRPr="005E0607">
        <w:rPr>
          <w:b/>
          <w:bCs/>
        </w:rPr>
        <w:t xml:space="preserve">, </w:t>
      </w:r>
      <w:proofErr w:type="spellStart"/>
      <w:r w:rsidRPr="005E0607">
        <w:rPr>
          <w:b/>
          <w:bCs/>
        </w:rPr>
        <w:t>naročito</w:t>
      </w:r>
      <w:proofErr w:type="spellEnd"/>
      <w:r w:rsidRPr="005E0607">
        <w:rPr>
          <w:b/>
          <w:bCs/>
        </w:rPr>
        <w:t xml:space="preserve"> o </w:t>
      </w:r>
      <w:proofErr w:type="spellStart"/>
      <w:r w:rsidRPr="005E0607">
        <w:rPr>
          <w:b/>
          <w:bCs/>
        </w:rPr>
        <w:t>odnosu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redovnih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vanrednih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nadzora</w:t>
      </w:r>
      <w:proofErr w:type="spellEnd"/>
      <w:r w:rsidRPr="005E0607">
        <w:rPr>
          <w:b/>
          <w:bCs/>
        </w:rPr>
        <w:t xml:space="preserve">, </w:t>
      </w:r>
      <w:proofErr w:type="spellStart"/>
      <w:r w:rsidRPr="005E0607">
        <w:rPr>
          <w:b/>
          <w:bCs/>
        </w:rPr>
        <w:t>broju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redovnih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nadzora</w:t>
      </w:r>
      <w:proofErr w:type="spellEnd"/>
      <w:r w:rsidRPr="005E0607">
        <w:rPr>
          <w:b/>
          <w:bCs/>
        </w:rPr>
        <w:t xml:space="preserve"> koji </w:t>
      </w:r>
      <w:proofErr w:type="spellStart"/>
      <w:r w:rsidRPr="005E0607">
        <w:rPr>
          <w:b/>
          <w:bCs/>
        </w:rPr>
        <w:t>nisu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izvršeni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razlozima</w:t>
      </w:r>
      <w:proofErr w:type="spellEnd"/>
      <w:r w:rsidRPr="005E0607">
        <w:rPr>
          <w:b/>
          <w:bCs/>
        </w:rPr>
        <w:t xml:space="preserve"> za to, </w:t>
      </w:r>
      <w:proofErr w:type="spellStart"/>
      <w:r w:rsidRPr="005E0607">
        <w:rPr>
          <w:b/>
          <w:bCs/>
        </w:rPr>
        <w:t>kao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o </w:t>
      </w:r>
      <w:proofErr w:type="spellStart"/>
      <w:r w:rsidRPr="005E0607">
        <w:rPr>
          <w:b/>
          <w:bCs/>
        </w:rPr>
        <w:t>broju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dopunskih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naloga</w:t>
      </w:r>
      <w:proofErr w:type="spellEnd"/>
      <w:r w:rsidRPr="005E0607">
        <w:rPr>
          <w:b/>
          <w:bCs/>
        </w:rPr>
        <w:t xml:space="preserve"> za </w:t>
      </w:r>
      <w:proofErr w:type="spellStart"/>
      <w:r w:rsidRPr="005E0607">
        <w:rPr>
          <w:b/>
          <w:bCs/>
        </w:rPr>
        <w:t>inspekcijski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</w:t>
      </w:r>
      <w:proofErr w:type="spellEnd"/>
    </w:p>
    <w:p w14:paraId="6C42116F" w14:textId="77777777" w:rsidR="00E70963" w:rsidRDefault="00E70963" w:rsidP="00E70963">
      <w:pPr>
        <w:pStyle w:val="NoSpacing"/>
        <w:jc w:val="both"/>
      </w:pPr>
    </w:p>
    <w:p w14:paraId="3DA3AFE8" w14:textId="5463B6B5" w:rsidR="00E70963" w:rsidRPr="00DD0998" w:rsidRDefault="00E70963" w:rsidP="007363DF">
      <w:pPr>
        <w:pStyle w:val="NoSpacing"/>
        <w:ind w:firstLine="720"/>
        <w:jc w:val="both"/>
      </w:pPr>
      <w:proofErr w:type="spellStart"/>
      <w:r w:rsidRPr="00DD0998">
        <w:t>Redovni</w:t>
      </w:r>
      <w:proofErr w:type="spellEnd"/>
      <w:r w:rsidRPr="00DD0998">
        <w:t xml:space="preserve"> </w:t>
      </w:r>
      <w:proofErr w:type="spellStart"/>
      <w:r w:rsidRPr="00DD0998">
        <w:t>inspekcijski</w:t>
      </w:r>
      <w:proofErr w:type="spellEnd"/>
      <w:r w:rsidRPr="00DD0998">
        <w:t xml:space="preserve"> </w:t>
      </w:r>
      <w:proofErr w:type="spellStart"/>
      <w:r w:rsidRPr="00DD0998">
        <w:t>pregledi</w:t>
      </w:r>
      <w:proofErr w:type="spellEnd"/>
      <w:r w:rsidRPr="00DD0998">
        <w:t xml:space="preserve"> </w:t>
      </w:r>
      <w:proofErr w:type="spellStart"/>
      <w:r w:rsidRPr="00DD0998">
        <w:t>vršeni</w:t>
      </w:r>
      <w:proofErr w:type="spellEnd"/>
      <w:r w:rsidRPr="00DD0998">
        <w:t xml:space="preserve"> </w:t>
      </w:r>
      <w:proofErr w:type="spellStart"/>
      <w:r w:rsidRPr="00DD0998">
        <w:t>su</w:t>
      </w:r>
      <w:proofErr w:type="spellEnd"/>
      <w:r w:rsidRPr="00DD0998">
        <w:t xml:space="preserve"> </w:t>
      </w:r>
      <w:proofErr w:type="spellStart"/>
      <w:r w:rsidRPr="00DD0998">
        <w:t>prema</w:t>
      </w:r>
      <w:proofErr w:type="spellEnd"/>
      <w:r w:rsidRPr="00DD0998">
        <w:t xml:space="preserve"> </w:t>
      </w:r>
      <w:proofErr w:type="spellStart"/>
      <w:r w:rsidRPr="00DD0998">
        <w:t>planiranoj</w:t>
      </w:r>
      <w:proofErr w:type="spellEnd"/>
      <w:r w:rsidRPr="00DD0998">
        <w:t xml:space="preserve"> </w:t>
      </w:r>
      <w:proofErr w:type="spellStart"/>
      <w:r w:rsidRPr="00DD0998">
        <w:t>dinamici</w:t>
      </w:r>
      <w:proofErr w:type="spellEnd"/>
      <w:r w:rsidRPr="00DD0998">
        <w:t xml:space="preserve"> </w:t>
      </w:r>
      <w:proofErr w:type="spellStart"/>
      <w:r w:rsidRPr="00DD0998">
        <w:t>i</w:t>
      </w:r>
      <w:proofErr w:type="spellEnd"/>
      <w:r w:rsidRPr="00DD0998">
        <w:t xml:space="preserve"> </w:t>
      </w:r>
      <w:proofErr w:type="spellStart"/>
      <w:r w:rsidR="00787041" w:rsidRPr="00DD0998">
        <w:t>sa</w:t>
      </w:r>
      <w:proofErr w:type="spellEnd"/>
      <w:r w:rsidR="00787041" w:rsidRPr="00DD0998">
        <w:t xml:space="preserve"> </w:t>
      </w:r>
      <w:proofErr w:type="spellStart"/>
      <w:proofErr w:type="gramStart"/>
      <w:r w:rsidR="00787041" w:rsidRPr="00DD0998">
        <w:t>nekoliko</w:t>
      </w:r>
      <w:proofErr w:type="spellEnd"/>
      <w:r w:rsidR="00787041" w:rsidRPr="00DD0998">
        <w:t xml:space="preserve"> </w:t>
      </w:r>
      <w:r w:rsidRPr="00DD0998">
        <w:t xml:space="preserve"> </w:t>
      </w:r>
      <w:proofErr w:type="spellStart"/>
      <w:r w:rsidRPr="00DD0998">
        <w:t>odstupanja</w:t>
      </w:r>
      <w:proofErr w:type="spellEnd"/>
      <w:proofErr w:type="gramEnd"/>
      <w:r w:rsidRPr="00DD0998">
        <w:t xml:space="preserve"> od termina </w:t>
      </w:r>
      <w:proofErr w:type="spellStart"/>
      <w:r w:rsidRPr="00DD0998">
        <w:t>predviđenih</w:t>
      </w:r>
      <w:proofErr w:type="spellEnd"/>
      <w:r w:rsidRPr="00DD0998">
        <w:t xml:space="preserve"> </w:t>
      </w:r>
      <w:proofErr w:type="spellStart"/>
      <w:r w:rsidRPr="00DD0998">
        <w:t>Godišnjim</w:t>
      </w:r>
      <w:proofErr w:type="spellEnd"/>
      <w:r w:rsidRPr="00DD0998">
        <w:t xml:space="preserve"> </w:t>
      </w:r>
      <w:proofErr w:type="spellStart"/>
      <w:r w:rsidRPr="00DD0998">
        <w:t>planom</w:t>
      </w:r>
      <w:proofErr w:type="spellEnd"/>
      <w:r w:rsidRPr="00DD0998">
        <w:t xml:space="preserve"> </w:t>
      </w:r>
      <w:proofErr w:type="spellStart"/>
      <w:r w:rsidRPr="00DD0998">
        <w:t>inspekcijskog</w:t>
      </w:r>
      <w:proofErr w:type="spellEnd"/>
      <w:r w:rsidRPr="00DD0998">
        <w:t xml:space="preserve"> </w:t>
      </w:r>
      <w:proofErr w:type="spellStart"/>
      <w:r w:rsidRPr="00DD0998">
        <w:t>nadzora</w:t>
      </w:r>
      <w:proofErr w:type="spellEnd"/>
      <w:r w:rsidRPr="00DD0998">
        <w:t xml:space="preserve"> koji je </w:t>
      </w:r>
      <w:proofErr w:type="spellStart"/>
      <w:r w:rsidRPr="00DD0998">
        <w:t>objavljen</w:t>
      </w:r>
      <w:proofErr w:type="spellEnd"/>
      <w:r w:rsidRPr="00DD0998">
        <w:t xml:space="preserve"> </w:t>
      </w:r>
      <w:proofErr w:type="spellStart"/>
      <w:r w:rsidRPr="00DD0998">
        <w:t>na</w:t>
      </w:r>
      <w:proofErr w:type="spellEnd"/>
      <w:r w:rsidRPr="00DD0998">
        <w:t xml:space="preserve"> </w:t>
      </w:r>
      <w:proofErr w:type="spellStart"/>
      <w:r w:rsidRPr="00DD0998">
        <w:t>sajtu</w:t>
      </w:r>
      <w:proofErr w:type="spellEnd"/>
      <w:r w:rsidRPr="00DD0998">
        <w:t xml:space="preserve"> </w:t>
      </w:r>
      <w:proofErr w:type="spellStart"/>
      <w:r w:rsidRPr="00DD0998">
        <w:t>Opštine</w:t>
      </w:r>
      <w:proofErr w:type="spellEnd"/>
      <w:r w:rsidRPr="00DD0998">
        <w:t xml:space="preserve"> </w:t>
      </w:r>
      <w:r w:rsidR="007363DF" w:rsidRPr="00DD0998">
        <w:t>Tutin</w:t>
      </w:r>
      <w:r w:rsidRPr="00DD0998">
        <w:t>.</w:t>
      </w:r>
    </w:p>
    <w:p w14:paraId="4BA0365D" w14:textId="6B377B66" w:rsidR="00E70963" w:rsidRPr="00DD0998" w:rsidRDefault="003503A8" w:rsidP="00D23514">
      <w:pPr>
        <w:pStyle w:val="NoSpacing"/>
        <w:ind w:firstLine="720"/>
        <w:jc w:val="both"/>
      </w:pPr>
      <w:proofErr w:type="spellStart"/>
      <w:r w:rsidRPr="00DD0998">
        <w:t>Godišnji</w:t>
      </w:r>
      <w:proofErr w:type="spellEnd"/>
      <w:r w:rsidRPr="00DD0998">
        <w:t xml:space="preserve"> </w:t>
      </w:r>
      <w:r w:rsidR="00E70963" w:rsidRPr="00DD0998">
        <w:t xml:space="preserve">plan </w:t>
      </w:r>
      <w:proofErr w:type="spellStart"/>
      <w:r w:rsidR="00E70963" w:rsidRPr="00DD0998">
        <w:t>redovnih</w:t>
      </w:r>
      <w:proofErr w:type="spellEnd"/>
      <w:r w:rsidRPr="00DD0998">
        <w:t xml:space="preserve"> </w:t>
      </w:r>
      <w:proofErr w:type="spellStart"/>
      <w:r w:rsidRPr="00DD0998">
        <w:t>inspekcijskih</w:t>
      </w:r>
      <w:proofErr w:type="spellEnd"/>
      <w:r w:rsidRPr="00DD0998">
        <w:t xml:space="preserve"> </w:t>
      </w:r>
      <w:proofErr w:type="spellStart"/>
      <w:r w:rsidRPr="00DD0998">
        <w:t>nadzora</w:t>
      </w:r>
      <w:proofErr w:type="spellEnd"/>
      <w:r w:rsidR="00E70963" w:rsidRPr="00DD0998">
        <w:t xml:space="preserve"> je </w:t>
      </w:r>
      <w:proofErr w:type="spellStart"/>
      <w:r w:rsidR="00E70963" w:rsidRPr="00DD0998">
        <w:t>izvršen</w:t>
      </w:r>
      <w:proofErr w:type="spellEnd"/>
      <w:r w:rsidR="00E70963" w:rsidRPr="00DD0998">
        <w:t xml:space="preserve"> </w:t>
      </w:r>
      <w:r w:rsidR="00D65ADB" w:rsidRPr="002D027E">
        <w:rPr>
          <w:bCs/>
        </w:rPr>
        <w:t>7</w:t>
      </w:r>
      <w:r w:rsidR="002D027E" w:rsidRPr="002D027E">
        <w:rPr>
          <w:bCs/>
        </w:rPr>
        <w:t>9</w:t>
      </w:r>
      <w:r w:rsidR="00D65ADB" w:rsidRPr="002D027E">
        <w:rPr>
          <w:bCs/>
        </w:rPr>
        <w:t>%</w:t>
      </w:r>
      <w:r w:rsidR="00E70963" w:rsidRPr="00DD0998">
        <w:t xml:space="preserve"> u </w:t>
      </w:r>
      <w:proofErr w:type="spellStart"/>
      <w:r w:rsidR="00E70963" w:rsidRPr="00DD0998">
        <w:t>odnosu</w:t>
      </w:r>
      <w:proofErr w:type="spellEnd"/>
      <w:r w:rsidR="00E70963" w:rsidRPr="00DD0998">
        <w:t xml:space="preserve"> </w:t>
      </w:r>
      <w:proofErr w:type="spellStart"/>
      <w:r w:rsidR="00E70963" w:rsidRPr="00DD0998">
        <w:t>na</w:t>
      </w:r>
      <w:proofErr w:type="spellEnd"/>
      <w:r w:rsidR="00E70963" w:rsidRPr="00DD0998">
        <w:t xml:space="preserve"> </w:t>
      </w:r>
      <w:proofErr w:type="spellStart"/>
      <w:r w:rsidR="00E70963" w:rsidRPr="00DD0998">
        <w:t>broj</w:t>
      </w:r>
      <w:proofErr w:type="spellEnd"/>
      <w:r w:rsidR="00E70963" w:rsidRPr="00DD0998">
        <w:t xml:space="preserve"> </w:t>
      </w:r>
      <w:proofErr w:type="spellStart"/>
      <w:r w:rsidR="00E70963" w:rsidRPr="00DD0998">
        <w:t>planiranih</w:t>
      </w:r>
      <w:proofErr w:type="spellEnd"/>
      <w:r w:rsidR="00E70963" w:rsidRPr="00DD0998">
        <w:t xml:space="preserve"> </w:t>
      </w:r>
      <w:proofErr w:type="spellStart"/>
      <w:r w:rsidR="00E70963" w:rsidRPr="00DD0998">
        <w:t>nadzora</w:t>
      </w:r>
      <w:proofErr w:type="spellEnd"/>
      <w:r w:rsidR="00E70963" w:rsidRPr="00DD0998">
        <w:t xml:space="preserve">. </w:t>
      </w:r>
      <w:proofErr w:type="spellStart"/>
      <w:r w:rsidR="0025608B" w:rsidRPr="00DD0998">
        <w:t>Godišnji</w:t>
      </w:r>
      <w:proofErr w:type="spellEnd"/>
      <w:r w:rsidR="0025608B" w:rsidRPr="00DD0998">
        <w:t xml:space="preserve"> Plan </w:t>
      </w:r>
      <w:proofErr w:type="spellStart"/>
      <w:r w:rsidR="0025608B" w:rsidRPr="00DD0998">
        <w:t>nije</w:t>
      </w:r>
      <w:proofErr w:type="spellEnd"/>
      <w:r w:rsidR="0025608B" w:rsidRPr="00DD0998">
        <w:t xml:space="preserve"> u </w:t>
      </w:r>
      <w:proofErr w:type="spellStart"/>
      <w:r w:rsidR="0025608B" w:rsidRPr="00DD0998">
        <w:t>potpunosti</w:t>
      </w:r>
      <w:proofErr w:type="spellEnd"/>
      <w:r w:rsidR="0025608B" w:rsidRPr="00DD0998">
        <w:t xml:space="preserve"> </w:t>
      </w:r>
      <w:proofErr w:type="spellStart"/>
      <w:r w:rsidR="0025608B" w:rsidRPr="00DD0998">
        <w:t>realizovan</w:t>
      </w:r>
      <w:proofErr w:type="spellEnd"/>
      <w:r w:rsidR="0025608B" w:rsidRPr="00DD0998">
        <w:t xml:space="preserve"> </w:t>
      </w:r>
      <w:proofErr w:type="spellStart"/>
      <w:r w:rsidR="0025608B" w:rsidRPr="00DD0998">
        <w:t>zbog</w:t>
      </w:r>
      <w:proofErr w:type="spellEnd"/>
      <w:r w:rsidR="0025608B" w:rsidRPr="00DD0998">
        <w:t xml:space="preserve"> toga </w:t>
      </w:r>
      <w:proofErr w:type="spellStart"/>
      <w:r w:rsidR="0025608B" w:rsidRPr="00DD0998">
        <w:t>što</w:t>
      </w:r>
      <w:proofErr w:type="spellEnd"/>
      <w:r w:rsidR="0025608B" w:rsidRPr="00DD0998">
        <w:t xml:space="preserve"> je </w:t>
      </w:r>
      <w:proofErr w:type="spellStart"/>
      <w:r w:rsidR="0025608B" w:rsidRPr="00DD0998">
        <w:t>s</w:t>
      </w:r>
      <w:r w:rsidR="00925996" w:rsidRPr="00DD0998">
        <w:t>edam</w:t>
      </w:r>
      <w:proofErr w:type="spellEnd"/>
      <w:r w:rsidRPr="00DD0998">
        <w:t xml:space="preserve"> </w:t>
      </w:r>
      <w:proofErr w:type="spellStart"/>
      <w:r w:rsidR="00E70963" w:rsidRPr="00DD0998">
        <w:t>nadziran</w:t>
      </w:r>
      <w:r w:rsidR="00925996" w:rsidRPr="00DD0998">
        <w:t>ih</w:t>
      </w:r>
      <w:proofErr w:type="spellEnd"/>
      <w:r w:rsidR="00E70963" w:rsidRPr="00DD0998">
        <w:t xml:space="preserve"> </w:t>
      </w:r>
      <w:proofErr w:type="spellStart"/>
      <w:r w:rsidR="00E70963" w:rsidRPr="00DD0998">
        <w:t>subjek</w:t>
      </w:r>
      <w:r w:rsidRPr="00DD0998">
        <w:t>ta</w:t>
      </w:r>
      <w:proofErr w:type="spellEnd"/>
      <w:r w:rsidR="00E70963" w:rsidRPr="00DD0998">
        <w:t xml:space="preserve"> </w:t>
      </w:r>
      <w:proofErr w:type="spellStart"/>
      <w:r w:rsidRPr="00DD0998">
        <w:t>prestal</w:t>
      </w:r>
      <w:r w:rsidR="0025608B" w:rsidRPr="00DD0998">
        <w:t>o</w:t>
      </w:r>
      <w:proofErr w:type="spellEnd"/>
      <w:r w:rsidRPr="00DD0998">
        <w:t xml:space="preserve"> </w:t>
      </w:r>
      <w:proofErr w:type="spellStart"/>
      <w:r w:rsidRPr="00DD0998">
        <w:t>sa</w:t>
      </w:r>
      <w:proofErr w:type="spellEnd"/>
      <w:r w:rsidRPr="00DD0998">
        <w:t xml:space="preserve"> </w:t>
      </w:r>
      <w:proofErr w:type="spellStart"/>
      <w:r w:rsidRPr="00DD0998">
        <w:t>radom</w:t>
      </w:r>
      <w:proofErr w:type="spellEnd"/>
      <w:r w:rsidR="00E70963" w:rsidRPr="00DD0998">
        <w:t xml:space="preserve"> </w:t>
      </w:r>
      <w:proofErr w:type="spellStart"/>
      <w:r w:rsidR="00E70963" w:rsidRPr="00DD0998">
        <w:t>tako</w:t>
      </w:r>
      <w:proofErr w:type="spellEnd"/>
      <w:r w:rsidR="00E70963" w:rsidRPr="00DD0998">
        <w:t xml:space="preserve"> da </w:t>
      </w:r>
      <w:proofErr w:type="spellStart"/>
      <w:r w:rsidRPr="00DD0998">
        <w:t>kod</w:t>
      </w:r>
      <w:proofErr w:type="spellEnd"/>
      <w:r w:rsidRPr="00DD0998">
        <w:t xml:space="preserve"> </w:t>
      </w:r>
      <w:proofErr w:type="spellStart"/>
      <w:r w:rsidRPr="00DD0998">
        <w:t>njih</w:t>
      </w:r>
      <w:proofErr w:type="spellEnd"/>
      <w:r w:rsidRPr="00DD0998">
        <w:t xml:space="preserve"> </w:t>
      </w:r>
      <w:proofErr w:type="spellStart"/>
      <w:r w:rsidR="00E70963" w:rsidRPr="00DD0998">
        <w:t>nije</w:t>
      </w:r>
      <w:proofErr w:type="spellEnd"/>
      <w:r w:rsidR="00E70963" w:rsidRPr="00DD0998">
        <w:t xml:space="preserve"> </w:t>
      </w:r>
      <w:proofErr w:type="spellStart"/>
      <w:r w:rsidR="00E70963" w:rsidRPr="00DD0998">
        <w:t>iz</w:t>
      </w:r>
      <w:r w:rsidRPr="00DD0998">
        <w:t>v</w:t>
      </w:r>
      <w:r w:rsidR="00E70963" w:rsidRPr="00DD0998">
        <w:t>ršen</w:t>
      </w:r>
      <w:proofErr w:type="spellEnd"/>
      <w:r w:rsidR="00E70963" w:rsidRPr="00DD0998">
        <w:t xml:space="preserve"> </w:t>
      </w:r>
      <w:proofErr w:type="spellStart"/>
      <w:r w:rsidR="00E70963" w:rsidRPr="00DD0998">
        <w:t>inspekcijski</w:t>
      </w:r>
      <w:proofErr w:type="spellEnd"/>
      <w:r w:rsidR="00E70963" w:rsidRPr="00DD0998">
        <w:t xml:space="preserve"> </w:t>
      </w:r>
      <w:proofErr w:type="spellStart"/>
      <w:r w:rsidR="00E70963" w:rsidRPr="00DD0998">
        <w:t>nadzor</w:t>
      </w:r>
      <w:proofErr w:type="spellEnd"/>
      <w:r w:rsidR="0025608B" w:rsidRPr="00DD0998">
        <w:t xml:space="preserve">, a </w:t>
      </w:r>
      <w:proofErr w:type="spellStart"/>
      <w:r w:rsidR="0025608B" w:rsidRPr="00DD0998">
        <w:t>i</w:t>
      </w:r>
      <w:proofErr w:type="spellEnd"/>
      <w:r w:rsidR="0025608B" w:rsidRPr="00DD0998">
        <w:t xml:space="preserve"> </w:t>
      </w:r>
      <w:proofErr w:type="spellStart"/>
      <w:r w:rsidR="0025608B" w:rsidRPr="00DD0998">
        <w:t>zbog</w:t>
      </w:r>
      <w:proofErr w:type="spellEnd"/>
      <w:r w:rsidR="0025608B" w:rsidRPr="00DD0998">
        <w:t xml:space="preserve"> </w:t>
      </w:r>
      <w:proofErr w:type="spellStart"/>
      <w:r w:rsidR="0025608B" w:rsidRPr="00DD0998">
        <w:t>angažovanosti</w:t>
      </w:r>
      <w:proofErr w:type="spellEnd"/>
      <w:r w:rsidR="0025608B" w:rsidRPr="00DD0998">
        <w:t xml:space="preserve"> </w:t>
      </w:r>
      <w:proofErr w:type="spellStart"/>
      <w:r w:rsidR="0025608B" w:rsidRPr="00DD0998">
        <w:t>inpektora</w:t>
      </w:r>
      <w:proofErr w:type="spellEnd"/>
      <w:r w:rsidR="0025608B" w:rsidRPr="00DD0998">
        <w:t xml:space="preserve"> </w:t>
      </w:r>
      <w:proofErr w:type="spellStart"/>
      <w:r w:rsidR="0025608B" w:rsidRPr="00DD0998">
        <w:t>zaštite</w:t>
      </w:r>
      <w:proofErr w:type="spellEnd"/>
      <w:r w:rsidR="0025608B" w:rsidRPr="00DD0998">
        <w:t xml:space="preserve"> </w:t>
      </w:r>
      <w:proofErr w:type="spellStart"/>
      <w:r w:rsidR="0025608B" w:rsidRPr="00DD0998">
        <w:t>životne</w:t>
      </w:r>
      <w:proofErr w:type="spellEnd"/>
      <w:r w:rsidR="0025608B" w:rsidRPr="00DD0998">
        <w:t xml:space="preserve"> </w:t>
      </w:r>
      <w:proofErr w:type="spellStart"/>
      <w:r w:rsidR="0025608B" w:rsidRPr="00DD0998">
        <w:t>sredine</w:t>
      </w:r>
      <w:proofErr w:type="spellEnd"/>
      <w:r w:rsidR="0025608B" w:rsidRPr="00DD0998">
        <w:t xml:space="preserve"> </w:t>
      </w:r>
      <w:proofErr w:type="spellStart"/>
      <w:r w:rsidR="0025608B" w:rsidRPr="00DD0998">
        <w:t>na</w:t>
      </w:r>
      <w:proofErr w:type="spellEnd"/>
      <w:r w:rsidR="0025608B" w:rsidRPr="00DD0998">
        <w:t xml:space="preserve"> </w:t>
      </w:r>
      <w:proofErr w:type="spellStart"/>
      <w:r w:rsidR="0025608B" w:rsidRPr="00DD0998">
        <w:t>drugim</w:t>
      </w:r>
      <w:proofErr w:type="spellEnd"/>
      <w:r w:rsidR="0025608B" w:rsidRPr="00DD0998">
        <w:t xml:space="preserve"> </w:t>
      </w:r>
      <w:proofErr w:type="spellStart"/>
      <w:r w:rsidR="00780B4A" w:rsidRPr="00DD0998">
        <w:t>nepredviđenim</w:t>
      </w:r>
      <w:proofErr w:type="spellEnd"/>
      <w:r w:rsidR="00780B4A" w:rsidRPr="00DD0998">
        <w:t xml:space="preserve"> </w:t>
      </w:r>
      <w:proofErr w:type="spellStart"/>
      <w:r w:rsidR="0025608B" w:rsidRPr="00DD0998">
        <w:t>radnim</w:t>
      </w:r>
      <w:proofErr w:type="spellEnd"/>
      <w:r w:rsidR="0025608B" w:rsidRPr="00DD0998">
        <w:t xml:space="preserve"> </w:t>
      </w:r>
      <w:proofErr w:type="spellStart"/>
      <w:r w:rsidR="0025608B" w:rsidRPr="00DD0998">
        <w:t>zadacima</w:t>
      </w:r>
      <w:proofErr w:type="spellEnd"/>
      <w:r w:rsidR="00780B4A" w:rsidRPr="00DD0998">
        <w:t xml:space="preserve"> I </w:t>
      </w:r>
      <w:proofErr w:type="spellStart"/>
      <w:r w:rsidR="00780B4A" w:rsidRPr="00DD0998">
        <w:t>komisijama</w:t>
      </w:r>
      <w:proofErr w:type="spellEnd"/>
      <w:r w:rsidR="0025608B" w:rsidRPr="00DD0998">
        <w:t>.</w:t>
      </w:r>
      <w:r w:rsidR="00D65ADB" w:rsidRPr="00DD0998">
        <w:t xml:space="preserve">, </w:t>
      </w:r>
      <w:proofErr w:type="spellStart"/>
      <w:r w:rsidR="00D65ADB" w:rsidRPr="00DD0998">
        <w:t>kao</w:t>
      </w:r>
      <w:proofErr w:type="spellEnd"/>
      <w:r w:rsidR="00D65ADB" w:rsidRPr="00DD0998">
        <w:t xml:space="preserve"> </w:t>
      </w:r>
      <w:proofErr w:type="spellStart"/>
      <w:r w:rsidR="00D1486D">
        <w:t>i</w:t>
      </w:r>
      <w:proofErr w:type="spellEnd"/>
      <w:r w:rsidR="00D65ADB" w:rsidRPr="00DD0998">
        <w:t xml:space="preserve"> </w:t>
      </w:r>
      <w:proofErr w:type="spellStart"/>
      <w:r w:rsidR="00D65ADB" w:rsidRPr="00DD0998">
        <w:t>odsustvo</w:t>
      </w:r>
      <w:proofErr w:type="spellEnd"/>
      <w:r w:rsidR="00D65ADB" w:rsidRPr="00DD0998">
        <w:t xml:space="preserve"> </w:t>
      </w:r>
      <w:proofErr w:type="spellStart"/>
      <w:r w:rsidR="00D65ADB" w:rsidRPr="00DD0998">
        <w:t>inspektora</w:t>
      </w:r>
      <w:proofErr w:type="spellEnd"/>
      <w:r w:rsidR="00D65ADB" w:rsidRPr="00DD0998">
        <w:t xml:space="preserve"> u </w:t>
      </w:r>
      <w:proofErr w:type="spellStart"/>
      <w:r w:rsidR="00D65ADB" w:rsidRPr="00DD0998">
        <w:t>trajanju</w:t>
      </w:r>
      <w:proofErr w:type="spellEnd"/>
      <w:r w:rsidR="00D65ADB" w:rsidRPr="00DD0998">
        <w:t xml:space="preserve"> od </w:t>
      </w:r>
      <w:proofErr w:type="spellStart"/>
      <w:r w:rsidR="00D65ADB" w:rsidRPr="00DD0998">
        <w:t>dva</w:t>
      </w:r>
      <w:proofErr w:type="spellEnd"/>
      <w:r w:rsidR="00D65ADB" w:rsidRPr="00DD0998">
        <w:t xml:space="preserve"> </w:t>
      </w:r>
      <w:proofErr w:type="spellStart"/>
      <w:r w:rsidR="00D65ADB" w:rsidRPr="00DD0998">
        <w:t>meseca-bolovanje</w:t>
      </w:r>
      <w:proofErr w:type="spellEnd"/>
      <w:r w:rsidR="002D027E">
        <w:t xml:space="preserve"> </w:t>
      </w:r>
      <w:r w:rsidR="00D1486D">
        <w:t>(</w:t>
      </w:r>
      <w:r w:rsidR="002D027E">
        <w:t xml:space="preserve">u </w:t>
      </w:r>
      <w:proofErr w:type="spellStart"/>
      <w:r w:rsidR="00D65ADB" w:rsidRPr="00DD0998">
        <w:t>maj</w:t>
      </w:r>
      <w:r w:rsidR="002D027E">
        <w:t>u</w:t>
      </w:r>
      <w:proofErr w:type="spellEnd"/>
      <w:r w:rsidR="00D65ADB" w:rsidRPr="00DD0998">
        <w:t xml:space="preserve"> </w:t>
      </w:r>
      <w:proofErr w:type="spellStart"/>
      <w:r w:rsidR="00D65ADB" w:rsidRPr="00DD0998">
        <w:t>i</w:t>
      </w:r>
      <w:proofErr w:type="spellEnd"/>
      <w:r w:rsidR="00D65ADB" w:rsidRPr="00DD0998">
        <w:t xml:space="preserve"> </w:t>
      </w:r>
      <w:proofErr w:type="spellStart"/>
      <w:r w:rsidR="00D65ADB" w:rsidRPr="00DD0998">
        <w:t>jun</w:t>
      </w:r>
      <w:r w:rsidR="002D027E">
        <w:t>u</w:t>
      </w:r>
      <w:proofErr w:type="spellEnd"/>
      <w:r w:rsidR="00D23514">
        <w:t xml:space="preserve"> </w:t>
      </w:r>
      <w:proofErr w:type="spellStart"/>
      <w:r w:rsidR="00D23514">
        <w:t>zbog</w:t>
      </w:r>
      <w:proofErr w:type="spellEnd"/>
      <w:r w:rsidR="00D23514">
        <w:t xml:space="preserve"> </w:t>
      </w:r>
      <w:proofErr w:type="spellStart"/>
      <w:r w:rsidR="00D23514">
        <w:t>hirurške</w:t>
      </w:r>
      <w:proofErr w:type="spellEnd"/>
      <w:r w:rsidR="00D23514">
        <w:t xml:space="preserve"> </w:t>
      </w:r>
      <w:proofErr w:type="spellStart"/>
      <w:r w:rsidR="00D23514">
        <w:t>intervencije</w:t>
      </w:r>
      <w:proofErr w:type="spellEnd"/>
      <w:r w:rsidR="00D1486D">
        <w:t>)</w:t>
      </w:r>
      <w:r w:rsidR="00D23514">
        <w:t xml:space="preserve">, a </w:t>
      </w:r>
      <w:proofErr w:type="spellStart"/>
      <w:r w:rsidR="00D23514">
        <w:t>i</w:t>
      </w:r>
      <w:proofErr w:type="spellEnd"/>
      <w:r w:rsidR="00D23514">
        <w:t xml:space="preserve"> </w:t>
      </w:r>
      <w:proofErr w:type="spellStart"/>
      <w:r w:rsidR="00D23514">
        <w:t>zbog</w:t>
      </w:r>
      <w:proofErr w:type="spellEnd"/>
      <w:r w:rsidR="00D23514">
        <w:t xml:space="preserve"> </w:t>
      </w:r>
      <w:proofErr w:type="spellStart"/>
      <w:r w:rsidR="00D23514">
        <w:t>angažovanosti</w:t>
      </w:r>
      <w:proofErr w:type="spellEnd"/>
      <w:r w:rsidR="00D23514">
        <w:t xml:space="preserve"> </w:t>
      </w:r>
      <w:proofErr w:type="spellStart"/>
      <w:r w:rsidR="00D23514">
        <w:t>inspektora</w:t>
      </w:r>
      <w:proofErr w:type="spellEnd"/>
      <w:r w:rsidR="00D23514">
        <w:t xml:space="preserve"> </w:t>
      </w:r>
      <w:proofErr w:type="spellStart"/>
      <w:r w:rsidR="00D23514">
        <w:t>na</w:t>
      </w:r>
      <w:proofErr w:type="spellEnd"/>
      <w:r w:rsidR="00D23514">
        <w:t xml:space="preserve"> </w:t>
      </w:r>
      <w:proofErr w:type="spellStart"/>
      <w:r w:rsidR="00D23514">
        <w:t>dr.ugim</w:t>
      </w:r>
      <w:proofErr w:type="spellEnd"/>
      <w:r w:rsidR="00D23514">
        <w:t xml:space="preserve"> </w:t>
      </w:r>
      <w:proofErr w:type="spellStart"/>
      <w:r w:rsidR="00D23514">
        <w:t>poslovima,naime</w:t>
      </w:r>
      <w:proofErr w:type="spellEnd"/>
      <w:r w:rsidR="00D23514">
        <w:t xml:space="preserve"> </w:t>
      </w:r>
      <w:r w:rsidR="00780B4A" w:rsidRPr="00DD0998">
        <w:t xml:space="preserve">Inspektor je </w:t>
      </w:r>
      <w:proofErr w:type="spellStart"/>
      <w:r w:rsidR="00780B4A" w:rsidRPr="00DD0998">
        <w:t>na</w:t>
      </w:r>
      <w:proofErr w:type="spellEnd"/>
      <w:r w:rsidR="00780B4A" w:rsidRPr="00DD0998">
        <w:t xml:space="preserve"> </w:t>
      </w:r>
      <w:proofErr w:type="spellStart"/>
      <w:r w:rsidR="00780B4A" w:rsidRPr="00DD0998">
        <w:t>osnovu</w:t>
      </w:r>
      <w:proofErr w:type="spellEnd"/>
      <w:r w:rsidR="00780B4A" w:rsidRPr="00DD0998">
        <w:t xml:space="preserve"> </w:t>
      </w:r>
      <w:proofErr w:type="spellStart"/>
      <w:r w:rsidR="00780B4A" w:rsidRPr="00DD0998">
        <w:t>rešenja</w:t>
      </w:r>
      <w:proofErr w:type="spellEnd"/>
      <w:r w:rsidR="00780B4A" w:rsidRPr="00DD0998">
        <w:t xml:space="preserve"> </w:t>
      </w:r>
      <w:proofErr w:type="spellStart"/>
      <w:r w:rsidR="00780B4A" w:rsidRPr="00DD0998">
        <w:t>i</w:t>
      </w:r>
      <w:proofErr w:type="spellEnd"/>
      <w:r w:rsidR="00780B4A" w:rsidRPr="00DD0998">
        <w:t xml:space="preserve"> </w:t>
      </w:r>
      <w:proofErr w:type="spellStart"/>
      <w:r w:rsidR="00780B4A" w:rsidRPr="00DD0998">
        <w:t>odluka</w:t>
      </w:r>
      <w:proofErr w:type="spellEnd"/>
      <w:r w:rsidR="00780B4A" w:rsidRPr="00DD0998">
        <w:t xml:space="preserve"> je </w:t>
      </w:r>
      <w:proofErr w:type="spellStart"/>
      <w:r w:rsidR="00780B4A" w:rsidRPr="00DD0998">
        <w:t>učestvovao</w:t>
      </w:r>
      <w:proofErr w:type="spellEnd"/>
      <w:r w:rsidR="00780B4A" w:rsidRPr="00DD0998">
        <w:t xml:space="preserve"> u </w:t>
      </w:r>
      <w:proofErr w:type="spellStart"/>
      <w:r w:rsidR="00780B4A" w:rsidRPr="00DD0998">
        <w:t>radu</w:t>
      </w:r>
      <w:proofErr w:type="spellEnd"/>
      <w:r w:rsidR="00780B4A" w:rsidRPr="00DD0998">
        <w:t xml:space="preserve"> </w:t>
      </w:r>
      <w:proofErr w:type="spellStart"/>
      <w:r w:rsidR="00780B4A" w:rsidRPr="00DD0998">
        <w:t>Komisije</w:t>
      </w:r>
      <w:proofErr w:type="spellEnd"/>
      <w:r w:rsidR="00780B4A" w:rsidRPr="00DD0998">
        <w:t xml:space="preserve"> za </w:t>
      </w:r>
      <w:proofErr w:type="spellStart"/>
      <w:r w:rsidR="00780B4A" w:rsidRPr="00DD0998">
        <w:t>izradu</w:t>
      </w:r>
      <w:proofErr w:type="spellEnd"/>
      <w:r w:rsidR="00780B4A" w:rsidRPr="00DD0998">
        <w:t xml:space="preserve"> Plana </w:t>
      </w:r>
      <w:proofErr w:type="spellStart"/>
      <w:r w:rsidR="00780B4A" w:rsidRPr="00DD0998">
        <w:t>korišćenja</w:t>
      </w:r>
      <w:proofErr w:type="spellEnd"/>
      <w:r w:rsidR="00780B4A" w:rsidRPr="00DD0998">
        <w:t xml:space="preserve"> </w:t>
      </w:r>
      <w:proofErr w:type="spellStart"/>
      <w:r w:rsidR="00780B4A" w:rsidRPr="00DD0998">
        <w:t>sredstava</w:t>
      </w:r>
      <w:proofErr w:type="spellEnd"/>
      <w:r w:rsidR="00780B4A" w:rsidRPr="00DD0998">
        <w:t xml:space="preserve"> </w:t>
      </w:r>
      <w:proofErr w:type="spellStart"/>
      <w:r w:rsidR="00780B4A" w:rsidRPr="00DD0998">
        <w:t>budžetskog</w:t>
      </w:r>
      <w:proofErr w:type="spellEnd"/>
      <w:r w:rsidR="00780B4A" w:rsidRPr="00DD0998">
        <w:t xml:space="preserve"> </w:t>
      </w:r>
      <w:proofErr w:type="spellStart"/>
      <w:r w:rsidR="00780B4A" w:rsidRPr="00DD0998">
        <w:t>fonda</w:t>
      </w:r>
      <w:proofErr w:type="spellEnd"/>
      <w:r w:rsidR="00780B4A" w:rsidRPr="00DD0998">
        <w:t xml:space="preserve"> </w:t>
      </w:r>
      <w:proofErr w:type="spellStart"/>
      <w:r w:rsidR="00780B4A" w:rsidRPr="00DD0998">
        <w:t>zaštite</w:t>
      </w:r>
      <w:proofErr w:type="spellEnd"/>
      <w:r w:rsidR="00780B4A" w:rsidRPr="00DD0998">
        <w:t xml:space="preserve"> </w:t>
      </w:r>
      <w:proofErr w:type="spellStart"/>
      <w:r w:rsidR="00780B4A" w:rsidRPr="00DD0998">
        <w:t>životne</w:t>
      </w:r>
      <w:proofErr w:type="spellEnd"/>
      <w:r w:rsidR="00780B4A" w:rsidRPr="00DD0998">
        <w:t xml:space="preserve"> </w:t>
      </w:r>
      <w:proofErr w:type="spellStart"/>
      <w:r w:rsidR="00780B4A" w:rsidRPr="00DD0998">
        <w:t>sredine</w:t>
      </w:r>
      <w:proofErr w:type="spellEnd"/>
      <w:r w:rsidR="00780B4A" w:rsidRPr="00DD0998">
        <w:t xml:space="preserve"> </w:t>
      </w:r>
      <w:proofErr w:type="spellStart"/>
      <w:r w:rsidR="00780B4A" w:rsidRPr="00DD0998">
        <w:t>opštine</w:t>
      </w:r>
      <w:proofErr w:type="spellEnd"/>
      <w:r w:rsidR="00780B4A" w:rsidRPr="00DD0998">
        <w:t xml:space="preserve"> Tutin, </w:t>
      </w:r>
      <w:proofErr w:type="spellStart"/>
      <w:r w:rsidR="00780B4A" w:rsidRPr="00DD0998">
        <w:t>Komisiji</w:t>
      </w:r>
      <w:proofErr w:type="spellEnd"/>
      <w:r w:rsidR="00780B4A" w:rsidRPr="00DD0998">
        <w:t xml:space="preserve"> za </w:t>
      </w:r>
      <w:proofErr w:type="spellStart"/>
      <w:r w:rsidR="00780B4A" w:rsidRPr="00DD0998">
        <w:t>zaštitu</w:t>
      </w:r>
      <w:proofErr w:type="spellEnd"/>
      <w:r w:rsidR="00780B4A" w:rsidRPr="00DD0998">
        <w:t xml:space="preserve"> </w:t>
      </w:r>
      <w:proofErr w:type="spellStart"/>
      <w:r w:rsidR="00780B4A" w:rsidRPr="00DD0998">
        <w:t>životne</w:t>
      </w:r>
      <w:proofErr w:type="spellEnd"/>
      <w:r w:rsidR="00780B4A" w:rsidRPr="00DD0998">
        <w:t xml:space="preserve"> </w:t>
      </w:r>
      <w:proofErr w:type="spellStart"/>
      <w:r w:rsidR="00780B4A" w:rsidRPr="00DD0998">
        <w:t>sredine</w:t>
      </w:r>
      <w:proofErr w:type="spellEnd"/>
      <w:r w:rsidR="00780B4A" w:rsidRPr="00DD0998">
        <w:t xml:space="preserve"> </w:t>
      </w:r>
      <w:proofErr w:type="spellStart"/>
      <w:r w:rsidR="00780B4A" w:rsidRPr="00DD0998">
        <w:t>i</w:t>
      </w:r>
      <w:proofErr w:type="spellEnd"/>
      <w:r w:rsidR="00780B4A" w:rsidRPr="00DD0998">
        <w:t xml:space="preserve"> </w:t>
      </w:r>
      <w:proofErr w:type="spellStart"/>
      <w:r w:rsidR="00780B4A" w:rsidRPr="00DD0998">
        <w:t>radnoj</w:t>
      </w:r>
      <w:proofErr w:type="spellEnd"/>
      <w:r w:rsidR="00780B4A" w:rsidRPr="00DD0998">
        <w:t xml:space="preserve"> </w:t>
      </w:r>
      <w:proofErr w:type="spellStart"/>
      <w:r w:rsidR="00780B4A" w:rsidRPr="00DD0998">
        <w:t>grupi</w:t>
      </w:r>
      <w:proofErr w:type="spellEnd"/>
      <w:r w:rsidR="00780B4A" w:rsidRPr="00DD0998">
        <w:t xml:space="preserve"> za </w:t>
      </w:r>
      <w:proofErr w:type="spellStart"/>
      <w:r w:rsidR="00780B4A" w:rsidRPr="00DD0998">
        <w:t>pripremu</w:t>
      </w:r>
      <w:proofErr w:type="spellEnd"/>
      <w:r w:rsidR="00780B4A" w:rsidRPr="00DD0998">
        <w:t xml:space="preserve"> </w:t>
      </w:r>
      <w:proofErr w:type="spellStart"/>
      <w:r w:rsidR="00780B4A" w:rsidRPr="00DD0998">
        <w:t>lokalnog</w:t>
      </w:r>
      <w:proofErr w:type="spellEnd"/>
      <w:r w:rsidR="00780B4A" w:rsidRPr="00DD0998">
        <w:t xml:space="preserve"> plana </w:t>
      </w:r>
      <w:proofErr w:type="spellStart"/>
      <w:r w:rsidR="00780B4A" w:rsidRPr="00DD0998">
        <w:t>upravljanja</w:t>
      </w:r>
      <w:proofErr w:type="spellEnd"/>
      <w:r w:rsidR="00780B4A" w:rsidRPr="00DD0998">
        <w:t xml:space="preserve"> </w:t>
      </w:r>
      <w:proofErr w:type="spellStart"/>
      <w:r w:rsidR="00780B4A" w:rsidRPr="00DD0998">
        <w:t>otpadom</w:t>
      </w:r>
      <w:proofErr w:type="spellEnd"/>
      <w:r w:rsidR="00780B4A" w:rsidRPr="00DD0998">
        <w:t xml:space="preserve"> </w:t>
      </w:r>
      <w:proofErr w:type="spellStart"/>
      <w:r w:rsidR="00780B4A" w:rsidRPr="00DD0998">
        <w:t>na</w:t>
      </w:r>
      <w:proofErr w:type="spellEnd"/>
      <w:r w:rsidR="00780B4A" w:rsidRPr="00DD0998">
        <w:t xml:space="preserve"> </w:t>
      </w:r>
      <w:proofErr w:type="spellStart"/>
      <w:r w:rsidR="00780B4A" w:rsidRPr="00DD0998">
        <w:t>teritoriji</w:t>
      </w:r>
      <w:proofErr w:type="spellEnd"/>
      <w:r w:rsidR="00780B4A" w:rsidRPr="00DD0998">
        <w:t xml:space="preserve"> </w:t>
      </w:r>
      <w:proofErr w:type="spellStart"/>
      <w:r w:rsidR="00780B4A" w:rsidRPr="00DD0998">
        <w:t>opštine</w:t>
      </w:r>
      <w:proofErr w:type="spellEnd"/>
      <w:r w:rsidR="00780B4A" w:rsidRPr="00DD0998">
        <w:t xml:space="preserve"> Tutin, </w:t>
      </w:r>
      <w:proofErr w:type="spellStart"/>
      <w:r w:rsidR="00780B4A" w:rsidRPr="00DD0998">
        <w:t>Komisiji</w:t>
      </w:r>
      <w:proofErr w:type="spellEnd"/>
      <w:r w:rsidR="00780B4A" w:rsidRPr="00DD0998">
        <w:t xml:space="preserve"> za </w:t>
      </w:r>
      <w:proofErr w:type="spellStart"/>
      <w:r w:rsidR="00780B4A" w:rsidRPr="00DD0998">
        <w:t>procenu</w:t>
      </w:r>
      <w:proofErr w:type="spellEnd"/>
      <w:r w:rsidR="00780B4A" w:rsidRPr="00DD0998">
        <w:t xml:space="preserve"> </w:t>
      </w:r>
      <w:proofErr w:type="spellStart"/>
      <w:r w:rsidR="00780B4A" w:rsidRPr="00DD0998">
        <w:t>vrednosti</w:t>
      </w:r>
      <w:proofErr w:type="spellEnd"/>
      <w:r w:rsidR="00780B4A" w:rsidRPr="00DD0998">
        <w:t xml:space="preserve"> </w:t>
      </w:r>
      <w:proofErr w:type="spellStart"/>
      <w:r w:rsidR="00780B4A" w:rsidRPr="00DD0998">
        <w:t>građevinskog</w:t>
      </w:r>
      <w:proofErr w:type="spellEnd"/>
      <w:r w:rsidR="00780B4A" w:rsidRPr="00DD0998">
        <w:t xml:space="preserve"> </w:t>
      </w:r>
      <w:proofErr w:type="spellStart"/>
      <w:r w:rsidR="00780B4A" w:rsidRPr="00DD0998">
        <w:t>zemljišta</w:t>
      </w:r>
      <w:proofErr w:type="spellEnd"/>
      <w:r w:rsidR="00780B4A" w:rsidRPr="00DD0998">
        <w:t xml:space="preserve">, </w:t>
      </w:r>
      <w:proofErr w:type="spellStart"/>
      <w:r w:rsidR="00780B4A" w:rsidRPr="00DD0998">
        <w:t>Komisiji</w:t>
      </w:r>
      <w:proofErr w:type="spellEnd"/>
      <w:r w:rsidR="00780B4A" w:rsidRPr="00DD0998">
        <w:t xml:space="preserve"> za </w:t>
      </w:r>
      <w:proofErr w:type="spellStart"/>
      <w:r w:rsidR="00780B4A" w:rsidRPr="00DD0998">
        <w:t>dodelu</w:t>
      </w:r>
      <w:proofErr w:type="spellEnd"/>
      <w:r w:rsidR="00780B4A" w:rsidRPr="00DD0998">
        <w:t xml:space="preserve"> </w:t>
      </w:r>
      <w:proofErr w:type="spellStart"/>
      <w:r w:rsidR="00780B4A" w:rsidRPr="00DD0998">
        <w:t>sredstava</w:t>
      </w:r>
      <w:proofErr w:type="spellEnd"/>
      <w:r w:rsidR="00780B4A" w:rsidRPr="00DD0998">
        <w:t xml:space="preserve"> </w:t>
      </w:r>
      <w:proofErr w:type="spellStart"/>
      <w:r w:rsidR="00780B4A" w:rsidRPr="00DD0998">
        <w:t>sportskim</w:t>
      </w:r>
      <w:proofErr w:type="spellEnd"/>
      <w:r w:rsidR="00780B4A" w:rsidRPr="00DD0998">
        <w:t xml:space="preserve"> </w:t>
      </w:r>
      <w:proofErr w:type="spellStart"/>
      <w:r w:rsidR="00780B4A" w:rsidRPr="00DD0998">
        <w:t>organizacijama</w:t>
      </w:r>
      <w:proofErr w:type="spellEnd"/>
      <w:r w:rsidR="00DD0998" w:rsidRPr="00DD0998">
        <w:t>.</w:t>
      </w:r>
    </w:p>
    <w:p w14:paraId="5C527AE1" w14:textId="61FC3BCE" w:rsidR="00E70963" w:rsidRDefault="00E70963" w:rsidP="007363DF">
      <w:pPr>
        <w:pStyle w:val="NoSpacing"/>
        <w:ind w:firstLine="720"/>
        <w:jc w:val="both"/>
      </w:pPr>
      <w:r>
        <w:lastRenderedPageBreak/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navedenim</w:t>
      </w:r>
      <w:proofErr w:type="spellEnd"/>
      <w:r>
        <w:t xml:space="preserve"> </w:t>
      </w:r>
      <w:proofErr w:type="spellStart"/>
      <w:r>
        <w:t>planom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, </w:t>
      </w:r>
      <w:proofErr w:type="spellStart"/>
      <w:r>
        <w:t>inspektor</w:t>
      </w:r>
      <w:proofErr w:type="spellEnd"/>
      <w:r>
        <w:t xml:space="preserve"> je pored </w:t>
      </w:r>
      <w:proofErr w:type="spellStart"/>
      <w:r>
        <w:t>redovnih</w:t>
      </w:r>
      <w:proofErr w:type="spellEnd"/>
      <w:r>
        <w:t xml:space="preserve">, </w:t>
      </w:r>
      <w:proofErr w:type="spellStart"/>
      <w:r>
        <w:t>obavio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 w:rsidR="00D1486D">
        <w:t>jedan</w:t>
      </w:r>
      <w:proofErr w:type="spellEnd"/>
      <w:r w:rsidR="00D1486D">
        <w:t xml:space="preserve"> </w:t>
      </w:r>
      <w:proofErr w:type="spellStart"/>
      <w:r>
        <w:t>vanred</w:t>
      </w:r>
      <w:r w:rsidR="003503A8">
        <w:t>n</w:t>
      </w:r>
      <w:r w:rsidR="00D1486D">
        <w:t>i</w:t>
      </w:r>
      <w:proofErr w:type="spellEnd"/>
      <w:r>
        <w:t xml:space="preserve"> </w:t>
      </w:r>
      <w:proofErr w:type="spellStart"/>
      <w:r>
        <w:t>inspekcijsk</w:t>
      </w:r>
      <w:r w:rsidR="00D1486D">
        <w:t>i</w:t>
      </w:r>
      <w:proofErr w:type="spellEnd"/>
      <w:r>
        <w:t xml:space="preserve"> </w:t>
      </w:r>
      <w:proofErr w:type="spellStart"/>
      <w:r>
        <w:t>nadzor</w:t>
      </w:r>
      <w:proofErr w:type="spellEnd"/>
      <w:r w:rsidR="003503A8">
        <w:t>,</w:t>
      </w:r>
      <w:r>
        <w:t xml:space="preserve"> po </w:t>
      </w:r>
      <w:proofErr w:type="spellStart"/>
      <w:r>
        <w:t>služ</w:t>
      </w:r>
      <w:r w:rsidR="00A22172">
        <w:t>benoj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 w:rsidR="00D1486D">
        <w:t>i</w:t>
      </w:r>
      <w:proofErr w:type="spellEnd"/>
      <w:r w:rsidR="00D1486D">
        <w:t xml:space="preserve"> </w:t>
      </w:r>
      <w:proofErr w:type="spellStart"/>
      <w:r w:rsidR="00D1486D">
        <w:t>dva</w:t>
      </w:r>
      <w:proofErr w:type="spellEnd"/>
      <w:r>
        <w:t xml:space="preserve"> </w:t>
      </w:r>
      <w:proofErr w:type="spellStart"/>
      <w:r>
        <w:t>vanredn</w:t>
      </w:r>
      <w:r w:rsidR="0025608B">
        <w:t>a</w:t>
      </w:r>
      <w:proofErr w:type="spellEnd"/>
      <w:r>
        <w:t xml:space="preserve"> po </w:t>
      </w:r>
      <w:proofErr w:type="spellStart"/>
      <w:r>
        <w:t>zahteva</w:t>
      </w:r>
      <w:proofErr w:type="spellEnd"/>
      <w:r>
        <w:t xml:space="preserve"> </w:t>
      </w:r>
      <w:proofErr w:type="spellStart"/>
      <w:r>
        <w:t>stranke</w:t>
      </w:r>
      <w:proofErr w:type="spellEnd"/>
      <w:r>
        <w:t xml:space="preserve"> za </w:t>
      </w:r>
      <w:proofErr w:type="spellStart"/>
      <w:r>
        <w:t>inspekcijski</w:t>
      </w:r>
      <w:proofErr w:type="spellEnd"/>
      <w:r>
        <w:t xml:space="preserve"> </w:t>
      </w:r>
      <w:proofErr w:type="spellStart"/>
      <w:r>
        <w:t>nadzor</w:t>
      </w:r>
      <w:proofErr w:type="spellEnd"/>
      <w:r>
        <w:t>.</w:t>
      </w:r>
    </w:p>
    <w:p w14:paraId="4E195766" w14:textId="5B05D71D" w:rsidR="00E70963" w:rsidRDefault="00D768D6" w:rsidP="00E70963">
      <w:pPr>
        <w:pStyle w:val="NoSpacing"/>
        <w:jc w:val="both"/>
      </w:pPr>
      <w:r>
        <w:t>-</w:t>
      </w:r>
      <w:r w:rsidR="00E70963">
        <w:t xml:space="preserve"> </w:t>
      </w:r>
      <w:proofErr w:type="spellStart"/>
      <w:r w:rsidR="00E70963">
        <w:t>Odnos</w:t>
      </w:r>
      <w:proofErr w:type="spellEnd"/>
      <w:r w:rsidR="00E70963">
        <w:t xml:space="preserve"> </w:t>
      </w:r>
      <w:proofErr w:type="spellStart"/>
      <w:r w:rsidR="00E70963">
        <w:t>redovnih</w:t>
      </w:r>
      <w:proofErr w:type="spellEnd"/>
      <w:r w:rsidR="00E70963">
        <w:t xml:space="preserve"> </w:t>
      </w:r>
      <w:proofErr w:type="spellStart"/>
      <w:r w:rsidR="00E70963">
        <w:t>i</w:t>
      </w:r>
      <w:proofErr w:type="spellEnd"/>
      <w:r w:rsidR="00E70963">
        <w:t xml:space="preserve"> </w:t>
      </w:r>
      <w:proofErr w:type="spellStart"/>
      <w:r w:rsidR="00E70963">
        <w:t>vanrednih</w:t>
      </w:r>
      <w:proofErr w:type="spellEnd"/>
      <w:r w:rsidR="00E70963">
        <w:t xml:space="preserve"> </w:t>
      </w:r>
      <w:proofErr w:type="gramStart"/>
      <w:r w:rsidR="00E70963">
        <w:t>nadzora:</w:t>
      </w:r>
      <w:r w:rsidR="00780B4A" w:rsidRPr="00780B4A">
        <w:rPr>
          <w:u w:val="single"/>
        </w:rPr>
        <w:t>5</w:t>
      </w:r>
      <w:r w:rsidR="00B4332B">
        <w:rPr>
          <w:u w:val="single"/>
        </w:rPr>
        <w:t>1</w:t>
      </w:r>
      <w:r w:rsidR="00E70963" w:rsidRPr="00780B4A">
        <w:rPr>
          <w:u w:val="single"/>
        </w:rPr>
        <w:t>:</w:t>
      </w:r>
      <w:r w:rsidR="00B4332B">
        <w:rPr>
          <w:u w:val="single"/>
        </w:rPr>
        <w:t>3</w:t>
      </w:r>
      <w:proofErr w:type="gramEnd"/>
      <w:r w:rsidR="00E70963" w:rsidRPr="00780B4A">
        <w:rPr>
          <w:u w:val="single"/>
        </w:rPr>
        <w:t>;</w:t>
      </w:r>
    </w:p>
    <w:p w14:paraId="3D3AC5D6" w14:textId="5626275F" w:rsidR="00E70963" w:rsidRDefault="00D768D6" w:rsidP="00E70963">
      <w:pPr>
        <w:pStyle w:val="NoSpacing"/>
        <w:jc w:val="both"/>
      </w:pPr>
      <w:r>
        <w:t>-</w:t>
      </w:r>
      <w:r w:rsidR="00E70963">
        <w:t xml:space="preserve"> </w:t>
      </w:r>
      <w:proofErr w:type="spellStart"/>
      <w:r w:rsidR="00E70963">
        <w:t>Broj</w:t>
      </w:r>
      <w:proofErr w:type="spellEnd"/>
      <w:r w:rsidR="00E70963">
        <w:t xml:space="preserve"> </w:t>
      </w:r>
      <w:proofErr w:type="spellStart"/>
      <w:r w:rsidR="00E70963">
        <w:t>planiranih</w:t>
      </w:r>
      <w:proofErr w:type="spellEnd"/>
      <w:r w:rsidR="00E70963">
        <w:t xml:space="preserve"> </w:t>
      </w:r>
      <w:proofErr w:type="spellStart"/>
      <w:r w:rsidR="00E70963">
        <w:t>nadzora</w:t>
      </w:r>
      <w:proofErr w:type="spellEnd"/>
      <w:r w:rsidR="00E70963">
        <w:t xml:space="preserve"> koji </w:t>
      </w:r>
      <w:proofErr w:type="spellStart"/>
      <w:r w:rsidR="00E70963">
        <w:t>nisu</w:t>
      </w:r>
      <w:proofErr w:type="spellEnd"/>
      <w:r w:rsidR="00E70963">
        <w:t xml:space="preserve"> </w:t>
      </w:r>
      <w:proofErr w:type="spellStart"/>
      <w:r w:rsidR="00E70963">
        <w:t>izvršeni</w:t>
      </w:r>
      <w:proofErr w:type="spellEnd"/>
      <w:r w:rsidR="00E70963">
        <w:t xml:space="preserve">: </w:t>
      </w:r>
      <w:r w:rsidR="00B4332B">
        <w:t>16</w:t>
      </w:r>
      <w:r w:rsidR="00E70963">
        <w:t>;</w:t>
      </w:r>
    </w:p>
    <w:p w14:paraId="12C47E28" w14:textId="0E4B4A54" w:rsidR="00E70963" w:rsidRDefault="00D768D6" w:rsidP="00E70963">
      <w:pPr>
        <w:pStyle w:val="NoSpacing"/>
        <w:jc w:val="both"/>
      </w:pPr>
      <w:r>
        <w:t>-</w:t>
      </w:r>
      <w:r w:rsidR="00E70963">
        <w:t xml:space="preserve"> </w:t>
      </w:r>
      <w:proofErr w:type="spellStart"/>
      <w:r w:rsidR="00E70963">
        <w:t>Dopunskih</w:t>
      </w:r>
      <w:proofErr w:type="spellEnd"/>
      <w:r w:rsidR="00E70963">
        <w:t xml:space="preserve"> </w:t>
      </w:r>
      <w:proofErr w:type="spellStart"/>
      <w:r w:rsidR="00E70963">
        <w:t>naloga</w:t>
      </w:r>
      <w:proofErr w:type="spellEnd"/>
      <w:r w:rsidR="00E70963">
        <w:t xml:space="preserve"> u </w:t>
      </w:r>
      <w:proofErr w:type="spellStart"/>
      <w:r w:rsidR="00E70963">
        <w:t>izveštajnom</w:t>
      </w:r>
      <w:proofErr w:type="spellEnd"/>
      <w:r w:rsidR="00E70963">
        <w:t xml:space="preserve"> </w:t>
      </w:r>
      <w:proofErr w:type="spellStart"/>
      <w:r w:rsidR="00E70963">
        <w:t>periodu</w:t>
      </w:r>
      <w:proofErr w:type="spellEnd"/>
      <w:r w:rsidR="00E70963">
        <w:t xml:space="preserve">   </w:t>
      </w:r>
      <w:proofErr w:type="spellStart"/>
      <w:r w:rsidR="00E70963">
        <w:t>nije</w:t>
      </w:r>
      <w:proofErr w:type="spellEnd"/>
      <w:r w:rsidR="00E70963">
        <w:t xml:space="preserve"> </w:t>
      </w:r>
      <w:proofErr w:type="spellStart"/>
      <w:r w:rsidR="00E70963">
        <w:t>bilo</w:t>
      </w:r>
      <w:proofErr w:type="spellEnd"/>
      <w:r w:rsidR="00E70963">
        <w:t>.</w:t>
      </w:r>
    </w:p>
    <w:p w14:paraId="0E87C1E3" w14:textId="77777777" w:rsidR="00F6771A" w:rsidRDefault="00F6771A" w:rsidP="00F6771A">
      <w:pPr>
        <w:pStyle w:val="NoSpacing"/>
        <w:jc w:val="both"/>
      </w:pPr>
    </w:p>
    <w:p w14:paraId="0A060E92" w14:textId="1A1D63C3" w:rsidR="00E70963" w:rsidRPr="005E0607" w:rsidRDefault="00E70963" w:rsidP="00DF5D8B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>8)</w:t>
      </w:r>
      <w:r w:rsidR="00F6771A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Nivo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koordinacije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inspekcijskog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sa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inspekcijskim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nadzorom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koga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vrše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druge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inspekcije</w:t>
      </w:r>
      <w:proofErr w:type="spellEnd"/>
    </w:p>
    <w:p w14:paraId="2569A6C5" w14:textId="77777777" w:rsidR="00E70963" w:rsidRDefault="00E70963" w:rsidP="00E70963">
      <w:pPr>
        <w:pStyle w:val="NoSpacing"/>
        <w:jc w:val="both"/>
      </w:pPr>
    </w:p>
    <w:p w14:paraId="612FA217" w14:textId="1114F0B2" w:rsidR="00E70963" w:rsidRDefault="00E70963" w:rsidP="007363DF">
      <w:pPr>
        <w:pStyle w:val="NoSpacing"/>
        <w:ind w:firstLine="720"/>
        <w:jc w:val="both"/>
      </w:pPr>
      <w:r>
        <w:t xml:space="preserve">Kako bi se </w:t>
      </w:r>
      <w:proofErr w:type="spellStart"/>
      <w:r>
        <w:t>postigla</w:t>
      </w:r>
      <w:proofErr w:type="spellEnd"/>
      <w:r>
        <w:t xml:space="preserve"> </w:t>
      </w:r>
      <w:proofErr w:type="spellStart"/>
      <w:r>
        <w:t>pravilna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efikasna</w:t>
      </w:r>
      <w:proofErr w:type="spellEnd"/>
      <w:r>
        <w:t xml:space="preserve"> </w:t>
      </w:r>
      <w:proofErr w:type="spellStart"/>
      <w:r>
        <w:t>primena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ostvarena</w:t>
      </w:r>
      <w:proofErr w:type="spellEnd"/>
      <w:r>
        <w:t xml:space="preserve"> je </w:t>
      </w:r>
      <w:proofErr w:type="spellStart"/>
      <w:r>
        <w:t>kontinuirana</w:t>
      </w:r>
      <w:proofErr w:type="spellEnd"/>
      <w:r>
        <w:t xml:space="preserve">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Komisijom</w:t>
      </w:r>
      <w:proofErr w:type="spellEnd"/>
      <w:r>
        <w:t xml:space="preserve"> za </w:t>
      </w:r>
      <w:proofErr w:type="spellStart"/>
      <w:r>
        <w:t>koordinaciju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kojom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razmenjivale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radu</w:t>
      </w:r>
      <w:proofErr w:type="spellEnd"/>
      <w:r>
        <w:t xml:space="preserve">. Inspektor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tokom</w:t>
      </w:r>
      <w:proofErr w:type="spellEnd"/>
      <w:r>
        <w:t xml:space="preserve"> 202</w:t>
      </w:r>
      <w:r w:rsidR="005F055A">
        <w:t>3</w:t>
      </w:r>
      <w:r>
        <w:t xml:space="preserve">. </w:t>
      </w:r>
      <w:proofErr w:type="spellStart"/>
      <w:r>
        <w:t>godine</w:t>
      </w:r>
      <w:proofErr w:type="spellEnd"/>
      <w:r>
        <w:t xml:space="preserve"> je </w:t>
      </w:r>
      <w:proofErr w:type="spellStart"/>
      <w:r>
        <w:t>sarađivao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republičkom</w:t>
      </w:r>
      <w:proofErr w:type="spellEnd"/>
      <w:r>
        <w:t xml:space="preserve"> </w:t>
      </w:r>
      <w:proofErr w:type="spellStart"/>
      <w:r>
        <w:t>inspkcijom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,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inspekcijskim</w:t>
      </w:r>
      <w:proofErr w:type="spellEnd"/>
      <w:r>
        <w:t xml:space="preserve"> </w:t>
      </w:r>
      <w:proofErr w:type="spellStart"/>
      <w:r>
        <w:t>službama</w:t>
      </w:r>
      <w:proofErr w:type="spellEnd"/>
      <w:r>
        <w:t xml:space="preserve">, PS </w:t>
      </w:r>
      <w:r w:rsidR="007363DF">
        <w:t>Tutin</w:t>
      </w:r>
      <w:r>
        <w:t>.</w:t>
      </w:r>
    </w:p>
    <w:p w14:paraId="7B6A33FA" w14:textId="77777777" w:rsidR="00E70963" w:rsidRDefault="00E70963" w:rsidP="00894890">
      <w:pPr>
        <w:pStyle w:val="NoSpacing"/>
        <w:ind w:firstLine="720"/>
        <w:jc w:val="both"/>
      </w:pPr>
      <w:proofErr w:type="spellStart"/>
      <w:r>
        <w:t>Zajedničkih</w:t>
      </w:r>
      <w:proofErr w:type="spellEnd"/>
      <w:r>
        <w:t xml:space="preserve"> </w:t>
      </w:r>
      <w:proofErr w:type="spellStart"/>
      <w:r>
        <w:t>inspekcijskih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>.</w:t>
      </w:r>
    </w:p>
    <w:p w14:paraId="3459060A" w14:textId="77777777" w:rsidR="00E70963" w:rsidRDefault="00E70963" w:rsidP="00E70963">
      <w:pPr>
        <w:pStyle w:val="NoSpacing"/>
        <w:jc w:val="both"/>
      </w:pPr>
    </w:p>
    <w:p w14:paraId="5649902A" w14:textId="77777777" w:rsidR="00E70963" w:rsidRPr="005E0607" w:rsidRDefault="00E70963" w:rsidP="00E70963">
      <w:pPr>
        <w:pStyle w:val="NoSpacing"/>
        <w:jc w:val="both"/>
        <w:rPr>
          <w:b/>
          <w:bCs/>
        </w:rPr>
      </w:pPr>
      <w:r w:rsidRPr="005E0607">
        <w:rPr>
          <w:b/>
          <w:bCs/>
        </w:rPr>
        <w:t xml:space="preserve">9) </w:t>
      </w:r>
      <w:proofErr w:type="spellStart"/>
      <w:r w:rsidRPr="005E0607">
        <w:rPr>
          <w:b/>
          <w:bCs/>
        </w:rPr>
        <w:t>Materijalni</w:t>
      </w:r>
      <w:proofErr w:type="spellEnd"/>
      <w:r w:rsidRPr="005E0607">
        <w:rPr>
          <w:b/>
          <w:bCs/>
        </w:rPr>
        <w:t xml:space="preserve">, </w:t>
      </w:r>
      <w:proofErr w:type="spellStart"/>
      <w:r w:rsidRPr="005E0607">
        <w:rPr>
          <w:b/>
          <w:bCs/>
        </w:rPr>
        <w:t>tehnički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kadrovski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resursi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koje</w:t>
      </w:r>
      <w:proofErr w:type="spellEnd"/>
      <w:r w:rsidRPr="005E0607">
        <w:rPr>
          <w:b/>
          <w:bCs/>
        </w:rPr>
        <w:t xml:space="preserve"> je </w:t>
      </w:r>
      <w:proofErr w:type="spellStart"/>
      <w:r w:rsidRPr="005E0607">
        <w:rPr>
          <w:b/>
          <w:bCs/>
        </w:rPr>
        <w:t>inspekcija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koristila</w:t>
      </w:r>
      <w:proofErr w:type="spellEnd"/>
      <w:r w:rsidRPr="005E0607">
        <w:rPr>
          <w:b/>
          <w:bCs/>
        </w:rPr>
        <w:t xml:space="preserve"> u </w:t>
      </w:r>
      <w:proofErr w:type="spellStart"/>
      <w:r w:rsidRPr="005E0607">
        <w:rPr>
          <w:b/>
          <w:bCs/>
        </w:rPr>
        <w:t>vršenju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inspekcijskog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nadzora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merama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preduzetim</w:t>
      </w:r>
      <w:proofErr w:type="spellEnd"/>
      <w:r w:rsidRPr="005E0607">
        <w:rPr>
          <w:b/>
          <w:bCs/>
        </w:rPr>
        <w:t xml:space="preserve"> u </w:t>
      </w:r>
      <w:proofErr w:type="spellStart"/>
      <w:r w:rsidRPr="005E0607">
        <w:rPr>
          <w:b/>
          <w:bCs/>
        </w:rPr>
        <w:t>cilju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delotvorne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upotrebe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resursa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inspekcije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i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rezultatima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preduzetih</w:t>
      </w:r>
      <w:proofErr w:type="spellEnd"/>
      <w:r w:rsidRPr="005E0607">
        <w:rPr>
          <w:b/>
          <w:bCs/>
        </w:rPr>
        <w:t xml:space="preserve"> </w:t>
      </w:r>
      <w:proofErr w:type="spellStart"/>
      <w:r w:rsidRPr="005E0607">
        <w:rPr>
          <w:b/>
          <w:bCs/>
        </w:rPr>
        <w:t>mera</w:t>
      </w:r>
      <w:proofErr w:type="spellEnd"/>
    </w:p>
    <w:p w14:paraId="5F2C6FA0" w14:textId="77777777" w:rsidR="00E70963" w:rsidRDefault="00E70963" w:rsidP="00E70963">
      <w:pPr>
        <w:pStyle w:val="NoSpacing"/>
        <w:jc w:val="both"/>
      </w:pPr>
    </w:p>
    <w:p w14:paraId="46C33B32" w14:textId="4B5F6A2B" w:rsidR="00E70963" w:rsidRDefault="00E70963" w:rsidP="00577359">
      <w:pPr>
        <w:pStyle w:val="NoSpacing"/>
        <w:ind w:firstLine="720"/>
        <w:jc w:val="both"/>
      </w:pPr>
      <w:proofErr w:type="spellStart"/>
      <w:r>
        <w:t>Od</w:t>
      </w:r>
      <w:r w:rsidR="00577359">
        <w:t>eljenje</w:t>
      </w:r>
      <w:proofErr w:type="spellEnd"/>
      <w:r>
        <w:t xml:space="preserve"> za </w:t>
      </w:r>
      <w:proofErr w:type="spellStart"/>
      <w:r>
        <w:t>inspekcijske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proofErr w:type="gramStart"/>
      <w:r>
        <w:t>sredine</w:t>
      </w:r>
      <w:proofErr w:type="spellEnd"/>
      <w:r>
        <w:t xml:space="preserve"> </w:t>
      </w:r>
      <w:r w:rsidR="00787041">
        <w:t>.</w:t>
      </w:r>
      <w:proofErr w:type="gramEnd"/>
    </w:p>
    <w:p w14:paraId="4AC2C07C" w14:textId="248F2A4D" w:rsidR="00E70963" w:rsidRDefault="00E70963" w:rsidP="00577359">
      <w:pPr>
        <w:pStyle w:val="NoSpacing"/>
        <w:ind w:firstLine="720"/>
        <w:jc w:val="both"/>
      </w:pPr>
      <w:proofErr w:type="spellStart"/>
      <w:r>
        <w:t>Materijalne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tehničke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: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vozilo</w:t>
      </w:r>
      <w:proofErr w:type="spellEnd"/>
      <w:r>
        <w:t xml:space="preserve"> za </w:t>
      </w:r>
      <w:proofErr w:type="spellStart"/>
      <w:r>
        <w:t>sve</w:t>
      </w:r>
      <w:proofErr w:type="spellEnd"/>
      <w:r>
        <w:t xml:space="preserve"> </w:t>
      </w:r>
      <w:proofErr w:type="spellStart"/>
      <w:r>
        <w:t>inspekcijske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, </w:t>
      </w:r>
      <w:proofErr w:type="spellStart"/>
      <w:r>
        <w:t>računar</w:t>
      </w:r>
      <w:proofErr w:type="spellEnd"/>
      <w:r>
        <w:t xml:space="preserve">, </w:t>
      </w:r>
      <w:proofErr w:type="spellStart"/>
      <w:r>
        <w:t>štampač</w:t>
      </w:r>
      <w:proofErr w:type="spellEnd"/>
      <w:proofErr w:type="gramStart"/>
      <w:r>
        <w:t>, ,</w:t>
      </w:r>
      <w:proofErr w:type="gram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aparat</w:t>
      </w:r>
      <w:proofErr w:type="spellEnd"/>
      <w:r>
        <w:t xml:space="preserve">, </w:t>
      </w:r>
      <w:r w:rsidR="00577359">
        <w:t>.</w:t>
      </w:r>
    </w:p>
    <w:p w14:paraId="2C5F2E4A" w14:textId="77777777" w:rsidR="00E70963" w:rsidRDefault="00E70963" w:rsidP="00577359">
      <w:pPr>
        <w:pStyle w:val="NoSpacing"/>
        <w:ind w:firstLine="720"/>
        <w:jc w:val="both"/>
      </w:pPr>
      <w:r>
        <w:t xml:space="preserve">U </w:t>
      </w:r>
      <w:proofErr w:type="spellStart"/>
      <w:r>
        <w:t>postupcima</w:t>
      </w:r>
      <w:proofErr w:type="spellEnd"/>
      <w:r>
        <w:t xml:space="preserve"> </w:t>
      </w:r>
      <w:proofErr w:type="spellStart"/>
      <w:r>
        <w:t>inspekcijskog</w:t>
      </w:r>
      <w:proofErr w:type="spellEnd"/>
      <w:r>
        <w:t xml:space="preserve"> </w:t>
      </w:r>
      <w:proofErr w:type="spellStart"/>
      <w:r>
        <w:t>nadzora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koristio</w:t>
      </w:r>
      <w:proofErr w:type="spellEnd"/>
      <w:r>
        <w:t xml:space="preserve"> </w:t>
      </w:r>
      <w:proofErr w:type="spellStart"/>
      <w:r>
        <w:t>povećana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>.</w:t>
      </w:r>
    </w:p>
    <w:p w14:paraId="3F60FC69" w14:textId="77777777" w:rsidR="00E70963" w:rsidRDefault="00E70963" w:rsidP="00E70963">
      <w:pPr>
        <w:pStyle w:val="NoSpacing"/>
        <w:jc w:val="both"/>
      </w:pPr>
    </w:p>
    <w:p w14:paraId="06C03013" w14:textId="77777777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 xml:space="preserve">10) </w:t>
      </w:r>
      <w:proofErr w:type="spellStart"/>
      <w:r w:rsidRPr="005876A8">
        <w:rPr>
          <w:b/>
          <w:bCs/>
        </w:rPr>
        <w:t>Pridržavanje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rokova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propisanih</w:t>
      </w:r>
      <w:proofErr w:type="spellEnd"/>
      <w:r w:rsidRPr="005876A8">
        <w:rPr>
          <w:b/>
          <w:bCs/>
        </w:rPr>
        <w:t xml:space="preserve"> za </w:t>
      </w:r>
      <w:proofErr w:type="spellStart"/>
      <w:r w:rsidRPr="005876A8">
        <w:rPr>
          <w:b/>
          <w:bCs/>
        </w:rPr>
        <w:t>postupanje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inspekcije</w:t>
      </w:r>
      <w:proofErr w:type="spellEnd"/>
    </w:p>
    <w:p w14:paraId="1600F9E9" w14:textId="77777777" w:rsidR="00E70963" w:rsidRDefault="00E70963" w:rsidP="00E70963">
      <w:pPr>
        <w:pStyle w:val="NoSpacing"/>
        <w:jc w:val="both"/>
      </w:pPr>
    </w:p>
    <w:p w14:paraId="5139ABA4" w14:textId="78CDC1CE" w:rsidR="00E70963" w:rsidRDefault="00E70963" w:rsidP="00577359">
      <w:pPr>
        <w:pStyle w:val="NoSpacing"/>
        <w:ind w:firstLine="720"/>
        <w:jc w:val="both"/>
      </w:pPr>
      <w:proofErr w:type="spellStart"/>
      <w:r>
        <w:t>Opštinski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u 202</w:t>
      </w:r>
      <w:r w:rsidR="005F055A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se u </w:t>
      </w:r>
      <w:proofErr w:type="spellStart"/>
      <w:r>
        <w:t>svemu</w:t>
      </w:r>
      <w:proofErr w:type="spellEnd"/>
      <w:r>
        <w:t xml:space="preserve"> </w:t>
      </w:r>
      <w:proofErr w:type="spellStart"/>
      <w:r>
        <w:t>pridržavao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propisanih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opštem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za </w:t>
      </w:r>
      <w:proofErr w:type="spellStart"/>
      <w:r>
        <w:t>obaveštenje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pogledu</w:t>
      </w:r>
      <w:proofErr w:type="spellEnd"/>
      <w:r>
        <w:t xml:space="preserve"> </w:t>
      </w:r>
      <w:proofErr w:type="spellStart"/>
      <w:r>
        <w:t>poštovanja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za </w:t>
      </w:r>
      <w:proofErr w:type="spellStart"/>
      <w:r>
        <w:t>izdavanje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,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upravnih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. </w:t>
      </w:r>
      <w:proofErr w:type="spellStart"/>
      <w:r>
        <w:t>Predlog</w:t>
      </w:r>
      <w:proofErr w:type="spellEnd"/>
      <w:r>
        <w:t xml:space="preserve"> plana za 202</w:t>
      </w:r>
      <w:r w:rsidR="005F055A">
        <w:t>4</w:t>
      </w:r>
      <w:r>
        <w:t xml:space="preserve"> </w:t>
      </w:r>
      <w:proofErr w:type="spellStart"/>
      <w:r>
        <w:t>godinu</w:t>
      </w:r>
      <w:proofErr w:type="spellEnd"/>
      <w:r>
        <w:t xml:space="preserve"> je u </w:t>
      </w:r>
      <w:proofErr w:type="spellStart"/>
      <w:r>
        <w:t>zakonski</w:t>
      </w:r>
      <w:proofErr w:type="spellEnd"/>
      <w:r>
        <w:t xml:space="preserve"> </w:t>
      </w:r>
      <w:proofErr w:type="spellStart"/>
      <w:r>
        <w:t>predviđenom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dostavljen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mišljenje</w:t>
      </w:r>
      <w:proofErr w:type="spellEnd"/>
      <w:r>
        <w:t xml:space="preserve">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 w:rsidR="00577359">
        <w:t>.</w:t>
      </w:r>
    </w:p>
    <w:p w14:paraId="3C61930E" w14:textId="77777777" w:rsidR="007363DF" w:rsidRDefault="007363DF" w:rsidP="00E70963">
      <w:pPr>
        <w:pStyle w:val="NoSpacing"/>
        <w:jc w:val="both"/>
      </w:pPr>
    </w:p>
    <w:p w14:paraId="2C7A9ACE" w14:textId="77777777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 xml:space="preserve">11) </w:t>
      </w:r>
      <w:proofErr w:type="spellStart"/>
      <w:r w:rsidRPr="005876A8">
        <w:rPr>
          <w:b/>
          <w:bCs/>
        </w:rPr>
        <w:t>Zakonitost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upravnih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akata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donetih</w:t>
      </w:r>
      <w:proofErr w:type="spellEnd"/>
      <w:r w:rsidRPr="005876A8">
        <w:rPr>
          <w:b/>
          <w:bCs/>
        </w:rPr>
        <w:t xml:space="preserve"> u </w:t>
      </w:r>
      <w:proofErr w:type="spellStart"/>
      <w:r w:rsidRPr="005876A8">
        <w:rPr>
          <w:b/>
          <w:bCs/>
        </w:rPr>
        <w:t>inspekcijskom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nadzoru</w:t>
      </w:r>
      <w:proofErr w:type="spellEnd"/>
      <w:r w:rsidRPr="005876A8">
        <w:rPr>
          <w:b/>
          <w:bCs/>
        </w:rPr>
        <w:t xml:space="preserve"> (</w:t>
      </w:r>
      <w:proofErr w:type="spellStart"/>
      <w:r w:rsidRPr="005876A8">
        <w:rPr>
          <w:b/>
          <w:bCs/>
        </w:rPr>
        <w:t>broj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drugostepenih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postupaka</w:t>
      </w:r>
      <w:proofErr w:type="spellEnd"/>
      <w:r w:rsidRPr="005876A8">
        <w:rPr>
          <w:b/>
          <w:bCs/>
        </w:rPr>
        <w:t xml:space="preserve">, </w:t>
      </w:r>
      <w:proofErr w:type="spellStart"/>
      <w:r w:rsidRPr="005876A8">
        <w:rPr>
          <w:b/>
          <w:bCs/>
        </w:rPr>
        <w:t>njihov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ishod</w:t>
      </w:r>
      <w:proofErr w:type="spellEnd"/>
      <w:r w:rsidRPr="005876A8">
        <w:rPr>
          <w:b/>
          <w:bCs/>
        </w:rPr>
        <w:t xml:space="preserve">, </w:t>
      </w:r>
      <w:proofErr w:type="spellStart"/>
      <w:r w:rsidRPr="005876A8">
        <w:rPr>
          <w:b/>
          <w:bCs/>
        </w:rPr>
        <w:t>broj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pokrenutih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upravnih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sporova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njihov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ishod</w:t>
      </w:r>
      <w:proofErr w:type="spellEnd"/>
      <w:r w:rsidRPr="005876A8">
        <w:rPr>
          <w:b/>
          <w:bCs/>
        </w:rPr>
        <w:t>)</w:t>
      </w:r>
    </w:p>
    <w:p w14:paraId="76919DB6" w14:textId="77777777" w:rsidR="00E70963" w:rsidRPr="005876A8" w:rsidRDefault="00E70963" w:rsidP="00E70963">
      <w:pPr>
        <w:pStyle w:val="NoSpacing"/>
        <w:jc w:val="both"/>
        <w:rPr>
          <w:b/>
          <w:bCs/>
        </w:rPr>
      </w:pPr>
    </w:p>
    <w:p w14:paraId="4B5C36E4" w14:textId="4062CF87" w:rsidR="00E70963" w:rsidRDefault="00E70963" w:rsidP="00E70963">
      <w:pPr>
        <w:pStyle w:val="NoSpacing"/>
        <w:jc w:val="both"/>
      </w:pPr>
      <w:r>
        <w:t xml:space="preserve">Na </w:t>
      </w:r>
      <w:proofErr w:type="spellStart"/>
      <w:r>
        <w:t>rešenja</w:t>
      </w:r>
      <w:proofErr w:type="spellEnd"/>
      <w:r>
        <w:t xml:space="preserve"> </w:t>
      </w:r>
      <w:proofErr w:type="spellStart"/>
      <w:r>
        <w:t>Inspekcije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u 202</w:t>
      </w:r>
      <w:r w:rsidR="005F055A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žalbi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uložena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tužba</w:t>
      </w:r>
      <w:proofErr w:type="spellEnd"/>
      <w:r>
        <w:t>.</w:t>
      </w:r>
    </w:p>
    <w:p w14:paraId="51AED1F8" w14:textId="77777777" w:rsidR="00C717B8" w:rsidRDefault="00C717B8" w:rsidP="00E70963">
      <w:pPr>
        <w:pStyle w:val="NoSpacing"/>
        <w:jc w:val="both"/>
        <w:rPr>
          <w:b/>
          <w:bCs/>
        </w:rPr>
      </w:pPr>
    </w:p>
    <w:p w14:paraId="29E76A3E" w14:textId="58BC7A5B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 xml:space="preserve">12) </w:t>
      </w:r>
      <w:proofErr w:type="spellStart"/>
      <w:r w:rsidRPr="005876A8">
        <w:rPr>
          <w:b/>
          <w:bCs/>
        </w:rPr>
        <w:t>Postupanje</w:t>
      </w:r>
      <w:proofErr w:type="spellEnd"/>
      <w:r w:rsidRPr="005876A8">
        <w:rPr>
          <w:b/>
          <w:bCs/>
        </w:rPr>
        <w:t xml:space="preserve"> u </w:t>
      </w:r>
      <w:proofErr w:type="spellStart"/>
      <w:r w:rsidRPr="005876A8">
        <w:rPr>
          <w:b/>
          <w:bCs/>
        </w:rPr>
        <w:t>rešavanju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prigovora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pritužbi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na</w:t>
      </w:r>
      <w:proofErr w:type="spellEnd"/>
      <w:r w:rsidRPr="005876A8">
        <w:rPr>
          <w:b/>
          <w:bCs/>
        </w:rPr>
        <w:t xml:space="preserve"> rad </w:t>
      </w:r>
      <w:proofErr w:type="spellStart"/>
      <w:r w:rsidRPr="005876A8">
        <w:rPr>
          <w:b/>
          <w:bCs/>
        </w:rPr>
        <w:t>inspekcije</w:t>
      </w:r>
      <w:proofErr w:type="spellEnd"/>
      <w:r w:rsidRPr="005876A8">
        <w:rPr>
          <w:b/>
          <w:bCs/>
        </w:rPr>
        <w:t xml:space="preserve">, </w:t>
      </w:r>
      <w:proofErr w:type="spellStart"/>
      <w:r w:rsidRPr="005876A8">
        <w:rPr>
          <w:b/>
          <w:bCs/>
        </w:rPr>
        <w:t>sa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ishodima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tog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postupanja</w:t>
      </w:r>
      <w:proofErr w:type="spellEnd"/>
      <w:r w:rsidRPr="005876A8">
        <w:rPr>
          <w:b/>
          <w:bCs/>
        </w:rPr>
        <w:t xml:space="preserve">, </w:t>
      </w:r>
      <w:proofErr w:type="spellStart"/>
      <w:r w:rsidRPr="005876A8">
        <w:rPr>
          <w:b/>
          <w:bCs/>
        </w:rPr>
        <w:t>uz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posebno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isticanje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broja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podnetih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prigovora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pritužbi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oblasti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rada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na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koje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su</w:t>
      </w:r>
      <w:proofErr w:type="spellEnd"/>
      <w:r w:rsidRPr="005876A8">
        <w:rPr>
          <w:b/>
          <w:bCs/>
        </w:rPr>
        <w:t xml:space="preserve"> se </w:t>
      </w:r>
      <w:proofErr w:type="spellStart"/>
      <w:r w:rsidRPr="005876A8">
        <w:rPr>
          <w:b/>
          <w:bCs/>
        </w:rPr>
        <w:t>odnosili</w:t>
      </w:r>
      <w:proofErr w:type="spellEnd"/>
    </w:p>
    <w:p w14:paraId="2DE38638" w14:textId="77777777" w:rsidR="00E70963" w:rsidRPr="005876A8" w:rsidRDefault="00E70963" w:rsidP="00E70963">
      <w:pPr>
        <w:pStyle w:val="NoSpacing"/>
        <w:jc w:val="both"/>
        <w:rPr>
          <w:b/>
          <w:bCs/>
        </w:rPr>
      </w:pPr>
    </w:p>
    <w:p w14:paraId="0CA0E6F1" w14:textId="50C078B4" w:rsidR="00E70963" w:rsidRDefault="00E70963" w:rsidP="007363DF">
      <w:pPr>
        <w:pStyle w:val="NoSpacing"/>
        <w:ind w:firstLine="720"/>
        <w:jc w:val="both"/>
      </w:pPr>
      <w:r>
        <w:t>U 202</w:t>
      </w:r>
      <w:r w:rsidR="005F055A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pritužbi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rad </w:t>
      </w:r>
      <w:proofErr w:type="spellStart"/>
      <w:r>
        <w:t>inspektora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shodno</w:t>
      </w:r>
      <w:proofErr w:type="spellEnd"/>
      <w:r>
        <w:t xml:space="preserve"> </w:t>
      </w:r>
      <w:proofErr w:type="spellStart"/>
      <w:r>
        <w:t>članu</w:t>
      </w:r>
      <w:proofErr w:type="spellEnd"/>
      <w:r>
        <w:t xml:space="preserve"> 52.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inspekcijskom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zahteva</w:t>
      </w:r>
      <w:proofErr w:type="spellEnd"/>
      <w:r>
        <w:t xml:space="preserve"> za </w:t>
      </w:r>
      <w:proofErr w:type="spellStart"/>
      <w:r>
        <w:t>izuzeće</w:t>
      </w:r>
      <w:proofErr w:type="spellEnd"/>
      <w:r>
        <w:t xml:space="preserve"> </w:t>
      </w:r>
      <w:proofErr w:type="spellStart"/>
      <w:r>
        <w:t>inspektora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>.</w:t>
      </w:r>
    </w:p>
    <w:p w14:paraId="13C861CD" w14:textId="77777777" w:rsidR="00E70963" w:rsidRDefault="00E70963" w:rsidP="00E70963">
      <w:pPr>
        <w:pStyle w:val="NoSpacing"/>
        <w:jc w:val="both"/>
      </w:pPr>
    </w:p>
    <w:p w14:paraId="095CBC6F" w14:textId="4E45F531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>13.</w:t>
      </w:r>
      <w:r w:rsidR="005876A8"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Obuke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drugi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oblici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stručnog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usavršavanja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inspektora</w:t>
      </w:r>
      <w:proofErr w:type="spellEnd"/>
    </w:p>
    <w:p w14:paraId="45B5A253" w14:textId="77777777" w:rsidR="00E70963" w:rsidRDefault="00E70963" w:rsidP="00E70963">
      <w:pPr>
        <w:pStyle w:val="NoSpacing"/>
        <w:jc w:val="both"/>
      </w:pPr>
    </w:p>
    <w:p w14:paraId="6421263D" w14:textId="661102FC" w:rsidR="00E70963" w:rsidRDefault="00E70963" w:rsidP="00EF082A">
      <w:pPr>
        <w:pStyle w:val="NoSpacing"/>
        <w:ind w:firstLine="720"/>
        <w:jc w:val="both"/>
      </w:pPr>
      <w:r>
        <w:t>U 202</w:t>
      </w:r>
      <w:r w:rsidR="005F055A">
        <w:t>3.</w:t>
      </w:r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proofErr w:type="gramStart"/>
      <w:r w:rsidR="000E0980">
        <w:t>nije</w:t>
      </w:r>
      <w:proofErr w:type="spellEnd"/>
      <w:r w:rsidR="000E0980">
        <w:t xml:space="preserve"> </w:t>
      </w:r>
      <w:r>
        <w:t xml:space="preserve"> </w:t>
      </w:r>
      <w:proofErr w:type="spellStart"/>
      <w:r>
        <w:t>učestvovao</w:t>
      </w:r>
      <w:proofErr w:type="spellEnd"/>
      <w:proofErr w:type="gramEnd"/>
      <w:r>
        <w:t xml:space="preserve"> </w:t>
      </w:r>
      <w:proofErr w:type="spellStart"/>
      <w:r w:rsidR="006D7F7F">
        <w:t>na</w:t>
      </w:r>
      <w:proofErr w:type="spellEnd"/>
      <w:r>
        <w:t xml:space="preserve"> </w:t>
      </w:r>
      <w:proofErr w:type="spellStart"/>
      <w:r w:rsidR="006D7F7F">
        <w:t>obukama</w:t>
      </w:r>
      <w:proofErr w:type="spellEnd"/>
    </w:p>
    <w:p w14:paraId="66C4D510" w14:textId="77777777" w:rsidR="00E70963" w:rsidRDefault="00E70963" w:rsidP="00E70963">
      <w:pPr>
        <w:pStyle w:val="NoSpacing"/>
        <w:jc w:val="both"/>
      </w:pPr>
    </w:p>
    <w:p w14:paraId="282EBE06" w14:textId="77777777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 xml:space="preserve">14) </w:t>
      </w:r>
      <w:proofErr w:type="spellStart"/>
      <w:r w:rsidRPr="005876A8">
        <w:rPr>
          <w:b/>
          <w:bCs/>
        </w:rPr>
        <w:t>Inicijative</w:t>
      </w:r>
      <w:proofErr w:type="spellEnd"/>
      <w:r w:rsidRPr="005876A8">
        <w:rPr>
          <w:b/>
          <w:bCs/>
        </w:rPr>
        <w:t xml:space="preserve"> za </w:t>
      </w:r>
      <w:proofErr w:type="spellStart"/>
      <w:r w:rsidRPr="005876A8">
        <w:rPr>
          <w:b/>
          <w:bCs/>
        </w:rPr>
        <w:t>izmene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dopune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zakona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drugih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propisa</w:t>
      </w:r>
      <w:proofErr w:type="spellEnd"/>
    </w:p>
    <w:p w14:paraId="2CEF856E" w14:textId="77777777" w:rsidR="00BF7B06" w:rsidRDefault="00BF7B06" w:rsidP="00EF082A">
      <w:pPr>
        <w:pStyle w:val="NoSpacing"/>
        <w:ind w:firstLine="720"/>
        <w:jc w:val="both"/>
      </w:pPr>
    </w:p>
    <w:p w14:paraId="5718A658" w14:textId="615EE2F7" w:rsidR="00E70963" w:rsidRDefault="00E70963" w:rsidP="0094255A">
      <w:pPr>
        <w:pStyle w:val="NoSpacing"/>
        <w:ind w:firstLine="720"/>
        <w:jc w:val="both"/>
      </w:pPr>
      <w:proofErr w:type="spellStart"/>
      <w:r>
        <w:t>Nije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inicijative</w:t>
      </w:r>
      <w:proofErr w:type="spellEnd"/>
      <w:r>
        <w:t xml:space="preserve"> za </w:t>
      </w:r>
      <w:proofErr w:type="spellStart"/>
      <w:r>
        <w:t>izmene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propisa</w:t>
      </w:r>
      <w:proofErr w:type="spellEnd"/>
      <w:r>
        <w:t>.</w:t>
      </w:r>
    </w:p>
    <w:p w14:paraId="67B270AF" w14:textId="77777777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lastRenderedPageBreak/>
        <w:t xml:space="preserve">15) Mere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provere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preduzete</w:t>
      </w:r>
      <w:proofErr w:type="spellEnd"/>
      <w:r w:rsidRPr="005876A8">
        <w:rPr>
          <w:b/>
          <w:bCs/>
        </w:rPr>
        <w:t xml:space="preserve"> u </w:t>
      </w:r>
      <w:proofErr w:type="spellStart"/>
      <w:r w:rsidRPr="005876A8">
        <w:rPr>
          <w:b/>
          <w:bCs/>
        </w:rPr>
        <w:t>cilju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potpunosti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ažurnosti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podataka</w:t>
      </w:r>
      <w:proofErr w:type="spellEnd"/>
      <w:r w:rsidRPr="005876A8">
        <w:rPr>
          <w:b/>
          <w:bCs/>
        </w:rPr>
        <w:t xml:space="preserve"> u </w:t>
      </w:r>
      <w:proofErr w:type="spellStart"/>
      <w:r w:rsidRPr="005876A8">
        <w:rPr>
          <w:b/>
          <w:bCs/>
        </w:rPr>
        <w:t>informacionom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sistemu</w:t>
      </w:r>
      <w:proofErr w:type="spellEnd"/>
    </w:p>
    <w:p w14:paraId="4399C6EF" w14:textId="77777777" w:rsidR="00E70963" w:rsidRPr="005876A8" w:rsidRDefault="00E70963" w:rsidP="00E70963">
      <w:pPr>
        <w:pStyle w:val="NoSpacing"/>
        <w:jc w:val="both"/>
        <w:rPr>
          <w:b/>
          <w:bCs/>
        </w:rPr>
      </w:pPr>
    </w:p>
    <w:p w14:paraId="7D71A519" w14:textId="42833492" w:rsidR="00E70963" w:rsidRDefault="00E70963" w:rsidP="005F055A">
      <w:pPr>
        <w:pStyle w:val="NoSpacing"/>
        <w:ind w:firstLine="720"/>
        <w:jc w:val="both"/>
      </w:pPr>
      <w:proofErr w:type="spellStart"/>
      <w:r>
        <w:t>Tokom</w:t>
      </w:r>
      <w:proofErr w:type="spellEnd"/>
      <w:r>
        <w:t xml:space="preserve"> 202</w:t>
      </w:r>
      <w:r w:rsidR="005F055A">
        <w:t>3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redovno</w:t>
      </w:r>
      <w:proofErr w:type="spellEnd"/>
      <w:r>
        <w:t xml:space="preserve"> je </w:t>
      </w:r>
      <w:proofErr w:type="spellStart"/>
      <w:r>
        <w:t>ažurirala</w:t>
      </w:r>
      <w:proofErr w:type="spellEnd"/>
      <w:r>
        <w:t xml:space="preserve"> </w:t>
      </w:r>
      <w:proofErr w:type="spellStart"/>
      <w:r>
        <w:t>internu</w:t>
      </w:r>
      <w:proofErr w:type="spellEnd"/>
      <w:r>
        <w:t xml:space="preserve"> </w:t>
      </w:r>
      <w:proofErr w:type="spellStart"/>
      <w:r>
        <w:t>bazu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o </w:t>
      </w:r>
      <w:proofErr w:type="spellStart"/>
      <w:r>
        <w:t>izvršenim</w:t>
      </w:r>
      <w:proofErr w:type="spellEnd"/>
      <w:r>
        <w:t xml:space="preserve"> </w:t>
      </w:r>
      <w:proofErr w:type="spellStart"/>
      <w:r>
        <w:t>poslovima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nadležnosti</w:t>
      </w:r>
      <w:proofErr w:type="spellEnd"/>
    </w:p>
    <w:p w14:paraId="0BD7ADF7" w14:textId="77777777" w:rsidR="00E70963" w:rsidRDefault="00E70963" w:rsidP="006D7F7F">
      <w:pPr>
        <w:pStyle w:val="NoSpacing"/>
        <w:ind w:firstLine="720"/>
        <w:jc w:val="both"/>
      </w:pPr>
      <w:proofErr w:type="spellStart"/>
      <w:r>
        <w:t>Inspekcija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ne </w:t>
      </w:r>
      <w:proofErr w:type="spellStart"/>
      <w:r>
        <w:t>raspolaže</w:t>
      </w:r>
      <w:proofErr w:type="spellEnd"/>
      <w:r>
        <w:t xml:space="preserve"> </w:t>
      </w:r>
      <w:proofErr w:type="spellStart"/>
      <w:r>
        <w:t>sopstvenim</w:t>
      </w:r>
      <w:proofErr w:type="spellEnd"/>
      <w:r>
        <w:t xml:space="preserve"> </w:t>
      </w:r>
      <w:proofErr w:type="spellStart"/>
      <w:r>
        <w:t>informacionim</w:t>
      </w:r>
      <w:proofErr w:type="spellEnd"/>
      <w:r>
        <w:t xml:space="preserve"> </w:t>
      </w:r>
      <w:proofErr w:type="spellStart"/>
      <w:r>
        <w:t>sistemom</w:t>
      </w:r>
      <w:proofErr w:type="spellEnd"/>
      <w:r>
        <w:t>.</w:t>
      </w:r>
    </w:p>
    <w:p w14:paraId="6C399633" w14:textId="355C800D" w:rsidR="00E70963" w:rsidRDefault="00E70963" w:rsidP="007363DF">
      <w:pPr>
        <w:pStyle w:val="NoSpacing"/>
        <w:ind w:firstLine="720"/>
        <w:jc w:val="both"/>
      </w:pPr>
      <w:r>
        <w:t xml:space="preserve">Inspektor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</w:t>
      </w:r>
      <w:r w:rsidR="007363DF">
        <w:t>Tutin</w:t>
      </w:r>
      <w:r>
        <w:t xml:space="preserve">, </w:t>
      </w:r>
      <w:proofErr w:type="spellStart"/>
      <w:r>
        <w:t>ažurira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opštinskom</w:t>
      </w:r>
      <w:proofErr w:type="spellEnd"/>
      <w:r>
        <w:t xml:space="preserve"> </w:t>
      </w:r>
      <w:proofErr w:type="spellStart"/>
      <w:r>
        <w:t>sajtu</w:t>
      </w:r>
      <w:proofErr w:type="spellEnd"/>
      <w:r>
        <w:t xml:space="preserve"> u </w:t>
      </w:r>
      <w:proofErr w:type="spellStart"/>
      <w:r>
        <w:t>vezi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. </w:t>
      </w:r>
    </w:p>
    <w:p w14:paraId="78440894" w14:textId="77777777" w:rsidR="00E70963" w:rsidRDefault="00E70963" w:rsidP="00E70963">
      <w:pPr>
        <w:pStyle w:val="NoSpacing"/>
        <w:jc w:val="both"/>
      </w:pPr>
    </w:p>
    <w:p w14:paraId="6509FEE3" w14:textId="77777777" w:rsidR="00E70963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 xml:space="preserve">16) </w:t>
      </w:r>
      <w:proofErr w:type="spellStart"/>
      <w:r w:rsidRPr="005876A8">
        <w:rPr>
          <w:b/>
          <w:bCs/>
        </w:rPr>
        <w:t>Stanje</w:t>
      </w:r>
      <w:proofErr w:type="spellEnd"/>
      <w:r w:rsidRPr="005876A8">
        <w:rPr>
          <w:b/>
          <w:bCs/>
        </w:rPr>
        <w:t xml:space="preserve"> u </w:t>
      </w:r>
      <w:proofErr w:type="spellStart"/>
      <w:r w:rsidRPr="005876A8">
        <w:rPr>
          <w:b/>
          <w:bCs/>
        </w:rPr>
        <w:t>oblasti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izvršavanja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poverenih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poslova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inspekcijskog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nadzora</w:t>
      </w:r>
      <w:proofErr w:type="spellEnd"/>
      <w:r w:rsidRPr="005876A8">
        <w:rPr>
          <w:b/>
          <w:bCs/>
        </w:rPr>
        <w:t>;</w:t>
      </w:r>
    </w:p>
    <w:p w14:paraId="5EAE2209" w14:textId="77777777" w:rsidR="00372A80" w:rsidRPr="005876A8" w:rsidRDefault="00372A80" w:rsidP="00E70963">
      <w:pPr>
        <w:pStyle w:val="NoSpacing"/>
        <w:jc w:val="both"/>
        <w:rPr>
          <w:b/>
          <w:bCs/>
        </w:rPr>
      </w:pPr>
    </w:p>
    <w:p w14:paraId="4B8444AC" w14:textId="595CA6E2" w:rsidR="00E70963" w:rsidRPr="00372A80" w:rsidRDefault="00372A80" w:rsidP="00E70963">
      <w:pPr>
        <w:pStyle w:val="NoSpacing"/>
        <w:jc w:val="both"/>
      </w:pPr>
      <w:r>
        <w:rPr>
          <w:b/>
          <w:bCs/>
        </w:rPr>
        <w:tab/>
      </w:r>
      <w:r w:rsidRPr="00372A80">
        <w:t xml:space="preserve">Svi </w:t>
      </w:r>
      <w:proofErr w:type="spellStart"/>
      <w:r w:rsidRPr="00372A80">
        <w:t>povereni</w:t>
      </w:r>
      <w:proofErr w:type="spellEnd"/>
      <w:r w:rsidRPr="00372A80">
        <w:t xml:space="preserve"> </w:t>
      </w:r>
      <w:proofErr w:type="spellStart"/>
      <w:r w:rsidRPr="00372A80">
        <w:t>poslovi</w:t>
      </w:r>
      <w:proofErr w:type="spellEnd"/>
      <w:r w:rsidRPr="00372A80">
        <w:t xml:space="preserve"> </w:t>
      </w:r>
      <w:proofErr w:type="spellStart"/>
      <w:r w:rsidRPr="00372A80">
        <w:t>izvršavaju</w:t>
      </w:r>
      <w:proofErr w:type="spellEnd"/>
      <w:r w:rsidRPr="00372A80">
        <w:t xml:space="preserve"> se </w:t>
      </w:r>
      <w:proofErr w:type="spellStart"/>
      <w:r w:rsidRPr="00372A80">
        <w:t>na</w:t>
      </w:r>
      <w:proofErr w:type="spellEnd"/>
      <w:r w:rsidRPr="00372A80">
        <w:t xml:space="preserve"> </w:t>
      </w:r>
      <w:proofErr w:type="spellStart"/>
      <w:r w:rsidRPr="00372A80">
        <w:t>vreme</w:t>
      </w:r>
      <w:proofErr w:type="spellEnd"/>
      <w:r w:rsidRPr="00372A80">
        <w:t xml:space="preserve"> I u </w:t>
      </w:r>
      <w:proofErr w:type="spellStart"/>
      <w:r w:rsidRPr="00372A80">
        <w:t>zakonskom</w:t>
      </w:r>
      <w:proofErr w:type="spellEnd"/>
      <w:r w:rsidRPr="00372A80">
        <w:t xml:space="preserve"> </w:t>
      </w:r>
      <w:proofErr w:type="spellStart"/>
      <w:r w:rsidRPr="00372A80">
        <w:t>roku</w:t>
      </w:r>
      <w:proofErr w:type="spellEnd"/>
      <w:r w:rsidRPr="00372A80">
        <w:t>.</w:t>
      </w:r>
    </w:p>
    <w:p w14:paraId="3C33E330" w14:textId="77777777" w:rsidR="006D7F7F" w:rsidRPr="005876A8" w:rsidRDefault="006D7F7F" w:rsidP="00E70963">
      <w:pPr>
        <w:pStyle w:val="NoSpacing"/>
        <w:jc w:val="both"/>
        <w:rPr>
          <w:b/>
          <w:bCs/>
        </w:rPr>
      </w:pPr>
    </w:p>
    <w:p w14:paraId="2C4B5E24" w14:textId="77777777" w:rsidR="00E70963" w:rsidRPr="005876A8" w:rsidRDefault="00E70963" w:rsidP="00E70963">
      <w:pPr>
        <w:pStyle w:val="NoSpacing"/>
        <w:jc w:val="both"/>
        <w:rPr>
          <w:b/>
          <w:bCs/>
        </w:rPr>
      </w:pPr>
      <w:r w:rsidRPr="005876A8">
        <w:rPr>
          <w:b/>
          <w:bCs/>
        </w:rPr>
        <w:t xml:space="preserve">17) </w:t>
      </w:r>
      <w:proofErr w:type="spellStart"/>
      <w:r w:rsidRPr="005876A8">
        <w:rPr>
          <w:b/>
          <w:bCs/>
        </w:rPr>
        <w:t>Ishodi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postupanja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pravosudnih</w:t>
      </w:r>
      <w:proofErr w:type="spellEnd"/>
      <w:r w:rsidRPr="005876A8">
        <w:rPr>
          <w:b/>
          <w:bCs/>
        </w:rPr>
        <w:t xml:space="preserve"> organa po </w:t>
      </w:r>
      <w:proofErr w:type="spellStart"/>
      <w:r w:rsidRPr="005876A8">
        <w:rPr>
          <w:b/>
          <w:bCs/>
        </w:rPr>
        <w:t>zahtevima</w:t>
      </w:r>
      <w:proofErr w:type="spellEnd"/>
      <w:r w:rsidRPr="005876A8">
        <w:rPr>
          <w:b/>
          <w:bCs/>
        </w:rPr>
        <w:t xml:space="preserve"> za </w:t>
      </w:r>
      <w:proofErr w:type="spellStart"/>
      <w:r w:rsidRPr="005876A8">
        <w:rPr>
          <w:b/>
          <w:bCs/>
        </w:rPr>
        <w:t>pokretanje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prekršajnog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postupka</w:t>
      </w:r>
      <w:proofErr w:type="spellEnd"/>
      <w:r w:rsidRPr="005876A8">
        <w:rPr>
          <w:b/>
          <w:bCs/>
        </w:rPr>
        <w:t xml:space="preserve">, </w:t>
      </w:r>
      <w:proofErr w:type="spellStart"/>
      <w:r w:rsidRPr="005876A8">
        <w:rPr>
          <w:b/>
          <w:bCs/>
        </w:rPr>
        <w:t>prijavama</w:t>
      </w:r>
      <w:proofErr w:type="spellEnd"/>
      <w:r w:rsidRPr="005876A8">
        <w:rPr>
          <w:b/>
          <w:bCs/>
        </w:rPr>
        <w:t xml:space="preserve"> za </w:t>
      </w:r>
      <w:proofErr w:type="spellStart"/>
      <w:r w:rsidRPr="005876A8">
        <w:rPr>
          <w:b/>
          <w:bCs/>
        </w:rPr>
        <w:t>privredni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prestup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krivičnim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prijavama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koje</w:t>
      </w:r>
      <w:proofErr w:type="spellEnd"/>
      <w:r w:rsidRPr="005876A8">
        <w:rPr>
          <w:b/>
          <w:bCs/>
        </w:rPr>
        <w:t xml:space="preserve"> je </w:t>
      </w:r>
      <w:proofErr w:type="spellStart"/>
      <w:r w:rsidRPr="005876A8">
        <w:rPr>
          <w:b/>
          <w:bCs/>
        </w:rPr>
        <w:t>podnela</w:t>
      </w:r>
      <w:proofErr w:type="spellEnd"/>
      <w:r w:rsidRPr="005876A8">
        <w:rPr>
          <w:b/>
          <w:bCs/>
        </w:rPr>
        <w:t xml:space="preserve"> </w:t>
      </w:r>
      <w:proofErr w:type="spellStart"/>
      <w:r w:rsidRPr="005876A8">
        <w:rPr>
          <w:b/>
          <w:bCs/>
        </w:rPr>
        <w:t>inspekcija</w:t>
      </w:r>
      <w:proofErr w:type="spellEnd"/>
    </w:p>
    <w:p w14:paraId="626754E1" w14:textId="77777777" w:rsidR="00E70963" w:rsidRDefault="00E70963" w:rsidP="00E70963">
      <w:pPr>
        <w:pStyle w:val="NoSpacing"/>
        <w:jc w:val="both"/>
      </w:pPr>
    </w:p>
    <w:p w14:paraId="313038B8" w14:textId="1F2A2816" w:rsidR="00E70963" w:rsidRDefault="00E70963" w:rsidP="00E70963">
      <w:pPr>
        <w:pStyle w:val="NoSpacing"/>
        <w:jc w:val="both"/>
      </w:pPr>
      <w:r>
        <w:t>U 202</w:t>
      </w:r>
      <w:r w:rsidR="005F055A">
        <w:t>3</w:t>
      </w:r>
      <w:r>
        <w:t xml:space="preserve">.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inspektor</w:t>
      </w:r>
      <w:proofErr w:type="spellEnd"/>
      <w:r>
        <w:t xml:space="preserve"> za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životne</w:t>
      </w:r>
      <w:proofErr w:type="spellEnd"/>
      <w:r>
        <w:t xml:space="preserve"> </w:t>
      </w:r>
      <w:proofErr w:type="spellStart"/>
      <w:r>
        <w:t>sredine</w:t>
      </w:r>
      <w:proofErr w:type="spellEnd"/>
      <w:r>
        <w:t xml:space="preserve"> je </w:t>
      </w:r>
      <w:proofErr w:type="spellStart"/>
      <w:r>
        <w:t>podneo</w:t>
      </w:r>
      <w:proofErr w:type="spellEnd"/>
      <w:r>
        <w:t xml:space="preserve">: </w:t>
      </w:r>
    </w:p>
    <w:p w14:paraId="21FCC3C9" w14:textId="79F76D83" w:rsidR="00E70963" w:rsidRDefault="007363DF" w:rsidP="00E70963">
      <w:pPr>
        <w:pStyle w:val="NoSpacing"/>
        <w:jc w:val="both"/>
      </w:pPr>
      <w:r>
        <w:t>-</w:t>
      </w:r>
      <w:proofErr w:type="spellStart"/>
      <w:r w:rsidR="00E70963">
        <w:t>nije</w:t>
      </w:r>
      <w:proofErr w:type="spellEnd"/>
      <w:r w:rsidR="00E70963">
        <w:t xml:space="preserve"> </w:t>
      </w:r>
      <w:proofErr w:type="spellStart"/>
      <w:r w:rsidR="00E70963">
        <w:t>bilo</w:t>
      </w:r>
      <w:proofErr w:type="spellEnd"/>
      <w:r w:rsidR="00E70963">
        <w:t xml:space="preserve"> </w:t>
      </w:r>
      <w:proofErr w:type="spellStart"/>
      <w:r w:rsidR="00E70963">
        <w:t>zahteva</w:t>
      </w:r>
      <w:proofErr w:type="spellEnd"/>
      <w:r w:rsidR="00E70963">
        <w:t xml:space="preserve"> za </w:t>
      </w:r>
      <w:proofErr w:type="spellStart"/>
      <w:r w:rsidR="00E70963">
        <w:t>pokretanje</w:t>
      </w:r>
      <w:proofErr w:type="spellEnd"/>
      <w:r w:rsidR="00E70963">
        <w:t xml:space="preserve"> </w:t>
      </w:r>
      <w:proofErr w:type="spellStart"/>
      <w:r w:rsidR="00E70963">
        <w:t>prekršajnog</w:t>
      </w:r>
      <w:proofErr w:type="spellEnd"/>
      <w:r w:rsidR="00E70963">
        <w:t xml:space="preserve"> </w:t>
      </w:r>
      <w:proofErr w:type="spellStart"/>
      <w:r w:rsidR="00E70963">
        <w:t>postupka</w:t>
      </w:r>
      <w:proofErr w:type="spellEnd"/>
      <w:r w:rsidR="00E70963">
        <w:t xml:space="preserve">, </w:t>
      </w:r>
    </w:p>
    <w:p w14:paraId="78EFC0CB" w14:textId="24312E35" w:rsidR="00E70963" w:rsidRDefault="007363DF" w:rsidP="00E70963">
      <w:pPr>
        <w:pStyle w:val="NoSpacing"/>
        <w:jc w:val="both"/>
      </w:pPr>
      <w:r>
        <w:t>-</w:t>
      </w:r>
      <w:proofErr w:type="spellStart"/>
      <w:r w:rsidR="00E70963">
        <w:t>nije</w:t>
      </w:r>
      <w:proofErr w:type="spellEnd"/>
      <w:r w:rsidR="00E70963">
        <w:t xml:space="preserve"> </w:t>
      </w:r>
      <w:proofErr w:type="spellStart"/>
      <w:r w:rsidR="00E70963">
        <w:t>bilo</w:t>
      </w:r>
      <w:proofErr w:type="spellEnd"/>
      <w:r w:rsidR="00E70963">
        <w:t xml:space="preserve"> </w:t>
      </w:r>
      <w:proofErr w:type="spellStart"/>
      <w:r w:rsidR="00E70963">
        <w:t>prijava</w:t>
      </w:r>
      <w:proofErr w:type="spellEnd"/>
      <w:r w:rsidR="00E70963">
        <w:t xml:space="preserve"> za </w:t>
      </w:r>
      <w:proofErr w:type="spellStart"/>
      <w:r w:rsidR="00E70963">
        <w:t>pokretanje</w:t>
      </w:r>
      <w:proofErr w:type="spellEnd"/>
      <w:r w:rsidR="00E70963">
        <w:t xml:space="preserve"> </w:t>
      </w:r>
      <w:proofErr w:type="spellStart"/>
      <w:r w:rsidR="00E70963">
        <w:t>postupka</w:t>
      </w:r>
      <w:proofErr w:type="spellEnd"/>
      <w:r w:rsidR="00E70963">
        <w:t xml:space="preserve"> za </w:t>
      </w:r>
      <w:proofErr w:type="spellStart"/>
      <w:r w:rsidR="00E70963">
        <w:t>privredni</w:t>
      </w:r>
      <w:proofErr w:type="spellEnd"/>
      <w:r w:rsidR="00E70963">
        <w:t xml:space="preserve"> </w:t>
      </w:r>
      <w:proofErr w:type="spellStart"/>
      <w:r w:rsidR="00E70963">
        <w:t>prestup</w:t>
      </w:r>
      <w:proofErr w:type="spellEnd"/>
    </w:p>
    <w:p w14:paraId="655CEB2F" w14:textId="06E144DD" w:rsidR="007E5672" w:rsidRDefault="007363DF" w:rsidP="00E70963">
      <w:pPr>
        <w:pStyle w:val="NoSpacing"/>
        <w:jc w:val="both"/>
      </w:pPr>
      <w:r>
        <w:t>-</w:t>
      </w:r>
      <w:proofErr w:type="spellStart"/>
      <w:r w:rsidR="00E70963">
        <w:t>nije</w:t>
      </w:r>
      <w:proofErr w:type="spellEnd"/>
      <w:r w:rsidR="00E70963">
        <w:t xml:space="preserve"> </w:t>
      </w:r>
      <w:proofErr w:type="spellStart"/>
      <w:r w:rsidR="00E70963">
        <w:t>bilo</w:t>
      </w:r>
      <w:proofErr w:type="spellEnd"/>
      <w:r w:rsidR="00E70963">
        <w:t xml:space="preserve"> </w:t>
      </w:r>
      <w:proofErr w:type="spellStart"/>
      <w:r w:rsidR="00E70963">
        <w:t>krivičnih</w:t>
      </w:r>
      <w:proofErr w:type="spellEnd"/>
      <w:r w:rsidR="00E70963">
        <w:t xml:space="preserve"> </w:t>
      </w:r>
      <w:proofErr w:type="spellStart"/>
      <w:r w:rsidR="00E70963">
        <w:t>prijava</w:t>
      </w:r>
      <w:proofErr w:type="spellEnd"/>
    </w:p>
    <w:p w14:paraId="404FF868" w14:textId="77777777" w:rsidR="006D7F7F" w:rsidRDefault="006D7F7F" w:rsidP="00E70963">
      <w:pPr>
        <w:pStyle w:val="NoSpacing"/>
        <w:jc w:val="both"/>
      </w:pPr>
    </w:p>
    <w:tbl>
      <w:tblPr>
        <w:tblW w:w="9364" w:type="dxa"/>
        <w:tblInd w:w="3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3"/>
        <w:gridCol w:w="8831"/>
      </w:tblGrid>
      <w:tr w:rsidR="005F61A0" w14:paraId="14F57364" w14:textId="77777777" w:rsidTr="00840F0F">
        <w:trPr>
          <w:trHeight w:val="360"/>
        </w:trPr>
        <w:tc>
          <w:tcPr>
            <w:tcW w:w="9364" w:type="dxa"/>
            <w:gridSpan w:val="2"/>
            <w:vAlign w:val="bottom"/>
            <w:hideMark/>
          </w:tcPr>
          <w:p w14:paraId="1AF7CC97" w14:textId="5A0C4762" w:rsidR="0094255A" w:rsidRPr="00725512" w:rsidRDefault="0094255A" w:rsidP="00840F0F">
            <w:pPr>
              <w:rPr>
                <w:rFonts w:asciiTheme="minorHAnsi" w:hAnsiTheme="minorHAnsi" w:cstheme="minorHAnsi"/>
                <w:b/>
                <w:bCs/>
                <w:szCs w:val="22"/>
                <w:lang w:val="sr-Latn-RS"/>
              </w:rPr>
            </w:pPr>
          </w:p>
          <w:p w14:paraId="2589079A" w14:textId="1EC1C94E" w:rsidR="005F61A0" w:rsidRPr="00725512" w:rsidRDefault="001A0BBD" w:rsidP="008B553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sr-Cyrl-RS" w:eastAsia="sr-Latn-CS"/>
              </w:rPr>
            </w:pPr>
            <w:r w:rsidRPr="00725512">
              <w:rPr>
                <w:rFonts w:asciiTheme="minorHAnsi" w:hAnsiTheme="minorHAnsi" w:cstheme="minorHAnsi"/>
                <w:b/>
                <w:bCs/>
                <w:szCs w:val="22"/>
                <w:lang w:val="sr-Cyrl-RS"/>
              </w:rPr>
              <w:t>Spisak postavljenih radnih ciljeva inspektora prema redosledu značaja i zbirni prikaz njihovog izvršavanja</w:t>
            </w:r>
          </w:p>
        </w:tc>
      </w:tr>
      <w:tr w:rsidR="005F61A0" w14:paraId="78B8373A" w14:textId="77777777" w:rsidTr="00840F0F">
        <w:trPr>
          <w:trHeight w:val="360"/>
        </w:trPr>
        <w:tc>
          <w:tcPr>
            <w:tcW w:w="9364" w:type="dxa"/>
            <w:gridSpan w:val="2"/>
            <w:vAlign w:val="bottom"/>
          </w:tcPr>
          <w:p w14:paraId="118A10EE" w14:textId="77777777" w:rsidR="005F61A0" w:rsidRDefault="005F61A0" w:rsidP="00840F0F">
            <w:pPr>
              <w:rPr>
                <w:sz w:val="24"/>
                <w:szCs w:val="24"/>
                <w:lang w:val="sr-Cyrl-RS"/>
              </w:rPr>
            </w:pPr>
          </w:p>
        </w:tc>
      </w:tr>
      <w:tr w:rsidR="005F61A0" w:rsidRPr="0094255A" w14:paraId="23CBB3A6" w14:textId="77777777" w:rsidTr="00840F0F">
        <w:trPr>
          <w:trHeight w:val="5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91D3" w14:textId="77777777" w:rsidR="005F61A0" w:rsidRDefault="005F61A0" w:rsidP="008B553E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  <w:t>1.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1D4F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Kontrola sprovođenje mera i propisa iz oblasti zaštite životne sredine, kao povereni poslovi Ministarstva zaštite životne sredine, kod nadziranih privrednih subjekata, pravnih lica i preduzetnika, određeni sledećim zakonima:</w:t>
            </w:r>
          </w:p>
          <w:p w14:paraId="791933FE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 xml:space="preserve">-Zakonom o zaštiti životne sredine; </w:t>
            </w:r>
          </w:p>
          <w:p w14:paraId="56EC7E60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proceni uticaja na životnu sredinu;</w:t>
            </w:r>
          </w:p>
          <w:p w14:paraId="49B90051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upravljanju otpadom;</w:t>
            </w:r>
          </w:p>
          <w:p w14:paraId="594DFC4A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zaštiti vazduha;</w:t>
            </w:r>
          </w:p>
          <w:p w14:paraId="1FD48D0F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zaštiti od buke u životnoj sredini;</w:t>
            </w:r>
          </w:p>
          <w:p w14:paraId="38343AB0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zaštiti od nejonizujućih zračenja;</w:t>
            </w:r>
          </w:p>
          <w:p w14:paraId="46BC3B4B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integrisanom sprečavanju i kontroli zagađivanja;</w:t>
            </w:r>
          </w:p>
          <w:p w14:paraId="3E3B7F6B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-Zakonom o zaštiti prirode,</w:t>
            </w:r>
          </w:p>
          <w:p w14:paraId="6AA05437" w14:textId="0B93F72D" w:rsidR="005F61A0" w:rsidRPr="00E628DB" w:rsidRDefault="001A0BBD" w:rsidP="001A0BBD">
            <w:pPr>
              <w:rPr>
                <w:rFonts w:eastAsia="Times New Roman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 xml:space="preserve"> u  skladu sa odredbama iz Zakona o inspekcijskom nadzorom</w:t>
            </w:r>
          </w:p>
        </w:tc>
      </w:tr>
      <w:tr w:rsidR="005F61A0" w:rsidRPr="0094255A" w14:paraId="493370BE" w14:textId="77777777" w:rsidTr="00840F0F">
        <w:trPr>
          <w:trHeight w:val="136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AFD6" w14:textId="77777777" w:rsidR="005F61A0" w:rsidRDefault="005F61A0" w:rsidP="008B553E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  <w:t>2.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E4C5A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 xml:space="preserve">- Postupanje po predstavkama građana na osnovu ocene o postojanju razloga za pokretanje inspekcijskog nadzora po službenoj dužnosti u skladu sa Zakonom o inspekcijskom nadzoru, godišnjim i operativnim planom inspekcijskog nadzora preduzimanje mere iz nadležnosti poverenih Zakonima i blagovremeno obaveštavanje podnosioca predstavke  o svim bitnim stvarima tokom postupka. </w:t>
            </w:r>
          </w:p>
          <w:p w14:paraId="310C8ABE" w14:textId="0A23E50D" w:rsidR="005F61A0" w:rsidRPr="00E628DB" w:rsidRDefault="001A0BBD" w:rsidP="001A0BBD">
            <w:pPr>
              <w:rPr>
                <w:rFonts w:eastAsia="Times New Roman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- Postupanje po zahtevima privrednih subjekata za utvrđivanje ispunjenosti uslova za obavljanje delatnosti i potvrđivanje zakonitosti poslovanja.</w:t>
            </w:r>
          </w:p>
        </w:tc>
      </w:tr>
      <w:tr w:rsidR="005F61A0" w:rsidRPr="0094255A" w14:paraId="703CF0C3" w14:textId="77777777" w:rsidTr="00CB2DE2">
        <w:trPr>
          <w:trHeight w:val="13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FB12" w14:textId="77777777" w:rsidR="005F61A0" w:rsidRDefault="005F61A0" w:rsidP="008B553E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  <w:t>3.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4B769" w14:textId="1C067638" w:rsidR="005F61A0" w:rsidRPr="00E628DB" w:rsidRDefault="001A0BBD" w:rsidP="008B553E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Preventivno inspekcijsko delovanje usmereno ka podsticanju i podržavanju zakonitosti i bezbednosti poslovanja i postupanja nadziranih subjekata  sve u cilju sprečavanja nastanka štetnih posledica,  organizovani kroz   pružanje informativne, edukativne i  stručno savetodavne  podrške nadziranom subjektu na licu mesta koje se organizuje van prostorija inspekcije</w:t>
            </w:r>
          </w:p>
        </w:tc>
      </w:tr>
      <w:tr w:rsidR="005F61A0" w:rsidRPr="0094255A" w14:paraId="7827C66C" w14:textId="77777777" w:rsidTr="00E628DB">
        <w:trPr>
          <w:trHeight w:val="122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5CD4" w14:textId="77777777" w:rsidR="005F61A0" w:rsidRDefault="005F61A0" w:rsidP="008B553E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  <w:lastRenderedPageBreak/>
              <w:t>4.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4A9B7" w14:textId="77777777" w:rsidR="001A0BBD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Učešće na stručnim usavršavanjima, radionicama, seminarima, kursevima obukama i slično iz oblasti zaštite životne sredine  u organizaciji svih relevantnih faktora zaštite životne sredine (Ministarstva, nevladin sektor, Instituti, Fakulteti i dr) u cilju  edukacije  i  jačanja kompetencija inspektora.</w:t>
            </w:r>
          </w:p>
          <w:p w14:paraId="6F5DAFA2" w14:textId="162FAC72" w:rsidR="005F61A0" w:rsidRPr="00E628DB" w:rsidRDefault="001A0BBD" w:rsidP="001A0BBD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 xml:space="preserve">  </w:t>
            </w:r>
          </w:p>
        </w:tc>
      </w:tr>
      <w:tr w:rsidR="005F61A0" w:rsidRPr="0094255A" w14:paraId="7F6D38F6" w14:textId="77777777" w:rsidTr="00840F0F">
        <w:trPr>
          <w:trHeight w:val="917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415A5" w14:textId="77777777" w:rsidR="005F61A0" w:rsidRDefault="005F61A0" w:rsidP="008B553E">
            <w:pPr>
              <w:jc w:val="center"/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val="sr-Latn-CS" w:eastAsia="sr-Latn-CS"/>
              </w:rPr>
              <w:t>5.</w:t>
            </w:r>
          </w:p>
        </w:tc>
        <w:tc>
          <w:tcPr>
            <w:tcW w:w="8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72396" w14:textId="58819C8F" w:rsidR="005F61A0" w:rsidRPr="00E628DB" w:rsidRDefault="001A0BBD" w:rsidP="008B553E">
            <w:pPr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</w:pPr>
            <w:r w:rsidRPr="00E628DB">
              <w:rPr>
                <w:rFonts w:asciiTheme="minorHAnsi" w:eastAsia="Times New Roman" w:hAnsiTheme="minorHAnsi" w:cstheme="minorHAnsi"/>
                <w:szCs w:val="22"/>
                <w:lang w:val="sr-Cyrl-RS" w:eastAsia="sr-Latn-CS"/>
              </w:rPr>
              <w:t>Saradnja sa republičkim inspektorima zaštite životne sredine, inspektorima za zaštitu životne sredine drugih lokalnih samouprava, komunalnom policijom i drugim organima i organizacijama</w:t>
            </w:r>
          </w:p>
        </w:tc>
      </w:tr>
    </w:tbl>
    <w:p w14:paraId="783C91F5" w14:textId="346EFAD1" w:rsidR="00F66DEC" w:rsidRPr="0094255A" w:rsidRDefault="00F66DEC" w:rsidP="00E70963">
      <w:pPr>
        <w:pStyle w:val="NoSpacing"/>
        <w:jc w:val="both"/>
      </w:pPr>
    </w:p>
    <w:p w14:paraId="3B49DE6E" w14:textId="56BD11BC" w:rsidR="00F66DEC" w:rsidRDefault="00F66DEC" w:rsidP="00E70963">
      <w:pPr>
        <w:pStyle w:val="NoSpacing"/>
        <w:jc w:val="both"/>
        <w:rPr>
          <w:b/>
          <w:bCs/>
        </w:rPr>
      </w:pPr>
    </w:p>
    <w:p w14:paraId="2E5E2F9E" w14:textId="790A0ABA" w:rsidR="00F66DEC" w:rsidRDefault="00F66DEC" w:rsidP="00E70963">
      <w:pPr>
        <w:pStyle w:val="NoSpacing"/>
        <w:jc w:val="both"/>
        <w:rPr>
          <w:b/>
          <w:bCs/>
        </w:rPr>
      </w:pPr>
    </w:p>
    <w:p w14:paraId="33BB44E3" w14:textId="0F97214C" w:rsidR="00F66DEC" w:rsidRDefault="00CB2DE2" w:rsidP="00CB2DE2">
      <w:pPr>
        <w:pStyle w:val="NoSpacing"/>
        <w:jc w:val="center"/>
        <w:rPr>
          <w:b/>
          <w:bCs/>
        </w:rPr>
      </w:pPr>
      <w:proofErr w:type="spellStart"/>
      <w:r>
        <w:rPr>
          <w:b/>
          <w:bCs/>
        </w:rPr>
        <w:t>Tabelarni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prikaz</w:t>
      </w:r>
      <w:proofErr w:type="spellEnd"/>
      <w:r w:rsidR="00C52AE6">
        <w:rPr>
          <w:b/>
          <w:bCs/>
        </w:rPr>
        <w:t xml:space="preserve"> </w:t>
      </w:r>
      <w:proofErr w:type="spellStart"/>
      <w:r>
        <w:rPr>
          <w:b/>
          <w:bCs/>
        </w:rPr>
        <w:t>rada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inspektora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zaštitu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životne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sredine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opštinske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uprave</w:t>
      </w:r>
      <w:proofErr w:type="spellEnd"/>
      <w:r>
        <w:rPr>
          <w:b/>
          <w:bCs/>
        </w:rPr>
        <w:t xml:space="preserve"> Tutin, </w:t>
      </w:r>
      <w:proofErr w:type="spellStart"/>
      <w:r>
        <w:rPr>
          <w:b/>
          <w:bCs/>
        </w:rPr>
        <w:t>Odeljenja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inspekcijske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poslove</w:t>
      </w:r>
      <w:proofErr w:type="spellEnd"/>
      <w:r>
        <w:rPr>
          <w:b/>
          <w:bCs/>
        </w:rPr>
        <w:t xml:space="preserve"> u </w:t>
      </w:r>
      <w:proofErr w:type="spellStart"/>
      <w:r>
        <w:rPr>
          <w:b/>
          <w:bCs/>
        </w:rPr>
        <w:t>toku</w:t>
      </w:r>
      <w:proofErr w:type="spellEnd"/>
      <w:r>
        <w:rPr>
          <w:b/>
          <w:bCs/>
        </w:rPr>
        <w:t xml:space="preserve"> 2023.godine</w:t>
      </w:r>
    </w:p>
    <w:p w14:paraId="551D778A" w14:textId="77777777" w:rsidR="00CB2DE2" w:rsidRPr="0043327F" w:rsidRDefault="00CB2DE2" w:rsidP="00E70963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567"/>
        <w:gridCol w:w="753"/>
        <w:gridCol w:w="665"/>
        <w:gridCol w:w="850"/>
        <w:gridCol w:w="993"/>
        <w:gridCol w:w="708"/>
        <w:gridCol w:w="1055"/>
        <w:gridCol w:w="977"/>
        <w:gridCol w:w="519"/>
      </w:tblGrid>
      <w:tr w:rsidR="00BF0223" w14:paraId="38DDD471" w14:textId="40866933" w:rsidTr="0094255A">
        <w:trPr>
          <w:trHeight w:val="232"/>
        </w:trPr>
        <w:tc>
          <w:tcPr>
            <w:tcW w:w="2263" w:type="dxa"/>
            <w:gridSpan w:val="2"/>
            <w:vMerge w:val="restart"/>
          </w:tcPr>
          <w:p w14:paraId="7099FD4E" w14:textId="30AB48F0" w:rsidR="00037AEC" w:rsidRPr="00CB2DE2" w:rsidRDefault="00F66D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IZVEŠTAJ</w:t>
            </w:r>
          </w:p>
          <w:p w14:paraId="7C0DF8F0" w14:textId="2B982D38" w:rsidR="00F66DEC" w:rsidRPr="00CB2DE2" w:rsidRDefault="00F66D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ZA</w:t>
            </w:r>
          </w:p>
          <w:p w14:paraId="0A3BA3FE" w14:textId="0507171A" w:rsidR="00037AEC" w:rsidRPr="00CB2DE2" w:rsidRDefault="00F66D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2023 GODINU</w:t>
            </w:r>
          </w:p>
        </w:tc>
        <w:tc>
          <w:tcPr>
            <w:tcW w:w="7087" w:type="dxa"/>
            <w:gridSpan w:val="9"/>
          </w:tcPr>
          <w:p w14:paraId="0197D548" w14:textId="018C8918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ODELJENJE ZA INSPEKCIJSKE POSLOVE OU TUTIN</w:t>
            </w:r>
          </w:p>
        </w:tc>
      </w:tr>
      <w:tr w:rsidR="00BF0223" w14:paraId="0C029CD6" w14:textId="4BBCE971" w:rsidTr="0094255A">
        <w:tc>
          <w:tcPr>
            <w:tcW w:w="2263" w:type="dxa"/>
            <w:gridSpan w:val="2"/>
            <w:vMerge/>
          </w:tcPr>
          <w:p w14:paraId="312BD01D" w14:textId="77777777" w:rsidR="00037AEC" w:rsidRPr="00CB2DE2" w:rsidRDefault="00037A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9"/>
          </w:tcPr>
          <w:p w14:paraId="0D839548" w14:textId="6A1B170A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OBLAST INSPEKCIJSKOG NADZORA</w:t>
            </w:r>
          </w:p>
        </w:tc>
      </w:tr>
      <w:tr w:rsidR="0094255A" w14:paraId="019D28EE" w14:textId="77777777" w:rsidTr="00FC6DB2">
        <w:tc>
          <w:tcPr>
            <w:tcW w:w="2263" w:type="dxa"/>
            <w:gridSpan w:val="2"/>
            <w:vMerge/>
          </w:tcPr>
          <w:p w14:paraId="5B4781A0" w14:textId="77777777" w:rsidR="00037AEC" w:rsidRPr="00CB2DE2" w:rsidRDefault="00037A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CCEB88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CE2EF51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144C6B1" w14:textId="4471CD6F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ZŽS</w:t>
            </w:r>
          </w:p>
        </w:tc>
        <w:tc>
          <w:tcPr>
            <w:tcW w:w="753" w:type="dxa"/>
          </w:tcPr>
          <w:p w14:paraId="26875FE6" w14:textId="53977BCE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STUDIJA O PROCENI UTICAJA</w:t>
            </w:r>
          </w:p>
        </w:tc>
        <w:tc>
          <w:tcPr>
            <w:tcW w:w="665" w:type="dxa"/>
          </w:tcPr>
          <w:p w14:paraId="39B70628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6085882B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276CE1A" w14:textId="2DC16717" w:rsidR="00037AEC" w:rsidRPr="00CB2DE2" w:rsidRDefault="00B43CE1" w:rsidP="00FC6DB2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IPPC</w:t>
            </w:r>
          </w:p>
        </w:tc>
        <w:tc>
          <w:tcPr>
            <w:tcW w:w="850" w:type="dxa"/>
          </w:tcPr>
          <w:p w14:paraId="21C2B9BE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4FF6BC8B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2CD833B" w14:textId="774C94D6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OTPAD</w:t>
            </w:r>
          </w:p>
        </w:tc>
        <w:tc>
          <w:tcPr>
            <w:tcW w:w="993" w:type="dxa"/>
          </w:tcPr>
          <w:p w14:paraId="787AF3A2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376041F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7130225B" w14:textId="3E072728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VAZDUH</w:t>
            </w:r>
          </w:p>
        </w:tc>
        <w:tc>
          <w:tcPr>
            <w:tcW w:w="708" w:type="dxa"/>
          </w:tcPr>
          <w:p w14:paraId="4BE19679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03733C51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EA2F88A" w14:textId="7DA6CF7F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BUKA</w:t>
            </w:r>
          </w:p>
        </w:tc>
        <w:tc>
          <w:tcPr>
            <w:tcW w:w="1055" w:type="dxa"/>
          </w:tcPr>
          <w:p w14:paraId="3896E525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DD6CF21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58C0A7AA" w14:textId="384157EC" w:rsidR="00B43CE1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NEJONIZ.</w:t>
            </w:r>
          </w:p>
          <w:p w14:paraId="2D25AD29" w14:textId="4A8B3016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ZRAČENJE</w:t>
            </w:r>
          </w:p>
        </w:tc>
        <w:tc>
          <w:tcPr>
            <w:tcW w:w="977" w:type="dxa"/>
          </w:tcPr>
          <w:p w14:paraId="4627921E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4589F9FF" w14:textId="77777777" w:rsidR="00FC6DB2" w:rsidRDefault="00FC6DB2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1970CE5F" w14:textId="51B5C66C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PRIRODA</w:t>
            </w:r>
          </w:p>
        </w:tc>
        <w:tc>
          <w:tcPr>
            <w:tcW w:w="519" w:type="dxa"/>
          </w:tcPr>
          <w:p w14:paraId="38AE1C23" w14:textId="77777777" w:rsidR="00FC6DB2" w:rsidRDefault="00FC6DB2" w:rsidP="006B5662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929BB6D" w14:textId="77777777" w:rsidR="00FC6DB2" w:rsidRDefault="00FC6DB2" w:rsidP="006B5662">
            <w:pPr>
              <w:pStyle w:val="NoSpacing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7A9C923" w14:textId="21F96F26" w:rsidR="00037AEC" w:rsidRPr="00CB2DE2" w:rsidRDefault="00B43CE1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rFonts w:cstheme="minorHAnsi"/>
                <w:b/>
                <w:bCs/>
                <w:sz w:val="20"/>
                <w:szCs w:val="20"/>
              </w:rPr>
              <w:t>Ʃ</w:t>
            </w:r>
          </w:p>
        </w:tc>
      </w:tr>
      <w:tr w:rsidR="00BF0223" w14:paraId="47A72C3C" w14:textId="59FB0432" w:rsidTr="0094255A">
        <w:tc>
          <w:tcPr>
            <w:tcW w:w="2263" w:type="dxa"/>
            <w:gridSpan w:val="2"/>
            <w:vMerge/>
          </w:tcPr>
          <w:p w14:paraId="0537EA10" w14:textId="77777777" w:rsidR="00037AEC" w:rsidRPr="00CB2DE2" w:rsidRDefault="00037A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9"/>
          </w:tcPr>
          <w:p w14:paraId="12970BAA" w14:textId="22076866" w:rsidR="00037AEC" w:rsidRPr="00CB2DE2" w:rsidRDefault="00F66DEC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INSPEKCIJSKI NADZOR NAD REGISTROVANIM SUBJEKTIMA</w:t>
            </w:r>
          </w:p>
        </w:tc>
      </w:tr>
      <w:tr w:rsidR="0094255A" w14:paraId="56EDA9B1" w14:textId="77777777" w:rsidTr="00FC6DB2">
        <w:tc>
          <w:tcPr>
            <w:tcW w:w="2263" w:type="dxa"/>
            <w:gridSpan w:val="2"/>
          </w:tcPr>
          <w:p w14:paraId="7358CB77" w14:textId="67ABA141" w:rsidR="00037AEC" w:rsidRPr="007404E2" w:rsidRDefault="00F66DEC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404E2">
              <w:rPr>
                <w:b/>
                <w:bCs/>
                <w:sz w:val="18"/>
                <w:szCs w:val="18"/>
              </w:rPr>
              <w:t>insp.nadzora</w:t>
            </w:r>
            <w:proofErr w:type="spellEnd"/>
            <w:proofErr w:type="gramEnd"/>
            <w:r w:rsidRPr="007404E2">
              <w:rPr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planiranih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Godišnjim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planom</w:t>
            </w:r>
            <w:proofErr w:type="spellEnd"/>
          </w:p>
        </w:tc>
        <w:tc>
          <w:tcPr>
            <w:tcW w:w="567" w:type="dxa"/>
          </w:tcPr>
          <w:p w14:paraId="308293FC" w14:textId="1AFEEF64" w:rsidR="00037AEC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53" w:type="dxa"/>
          </w:tcPr>
          <w:p w14:paraId="1C73F8D9" w14:textId="67649B6F" w:rsidR="00037AEC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65" w:type="dxa"/>
          </w:tcPr>
          <w:p w14:paraId="281E6F8E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2AA6271" w14:textId="2679AFA4" w:rsidR="00037AEC" w:rsidRDefault="00F825F2" w:rsidP="00F825F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93" w:type="dxa"/>
          </w:tcPr>
          <w:p w14:paraId="4D8F6A4F" w14:textId="73A6B574" w:rsidR="00037AEC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708" w:type="dxa"/>
          </w:tcPr>
          <w:p w14:paraId="11EE29B3" w14:textId="07943CA7" w:rsidR="00037AEC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55" w:type="dxa"/>
          </w:tcPr>
          <w:p w14:paraId="78C27910" w14:textId="50E15965" w:rsidR="00037AEC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77" w:type="dxa"/>
          </w:tcPr>
          <w:p w14:paraId="57AB4E20" w14:textId="2AC6A823" w:rsidR="00037AEC" w:rsidRDefault="00C408D5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9" w:type="dxa"/>
          </w:tcPr>
          <w:p w14:paraId="61E11071" w14:textId="4E53124E" w:rsidR="00037AEC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94255A" w14:paraId="184FFD26" w14:textId="77777777" w:rsidTr="00FC6DB2">
        <w:tc>
          <w:tcPr>
            <w:tcW w:w="2263" w:type="dxa"/>
            <w:gridSpan w:val="2"/>
          </w:tcPr>
          <w:p w14:paraId="7693D5B2" w14:textId="727F9354" w:rsidR="00037AEC" w:rsidRPr="007404E2" w:rsidRDefault="00F66DEC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izvršenih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redovnih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8176F" w:rsidRPr="007404E2">
              <w:rPr>
                <w:b/>
                <w:bCs/>
                <w:sz w:val="18"/>
                <w:szCs w:val="18"/>
              </w:rPr>
              <w:t>insp.nadzora</w:t>
            </w:r>
            <w:proofErr w:type="spellEnd"/>
            <w:proofErr w:type="gramEnd"/>
          </w:p>
        </w:tc>
        <w:tc>
          <w:tcPr>
            <w:tcW w:w="567" w:type="dxa"/>
          </w:tcPr>
          <w:p w14:paraId="207A0B2C" w14:textId="07FA3840" w:rsidR="00037AEC" w:rsidRDefault="003C3E87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" w:type="dxa"/>
          </w:tcPr>
          <w:p w14:paraId="050B540E" w14:textId="0A7CD0E7" w:rsidR="00037AEC" w:rsidRDefault="003C3E87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5" w:type="dxa"/>
          </w:tcPr>
          <w:p w14:paraId="1EA451FD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0EA1388" w14:textId="3271E81F" w:rsidR="00037AEC" w:rsidRDefault="003C3E87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93" w:type="dxa"/>
          </w:tcPr>
          <w:p w14:paraId="4EFBF9DC" w14:textId="02A1A6B1" w:rsidR="00037AEC" w:rsidRPr="00801AC1" w:rsidRDefault="000D6809" w:rsidP="006B5662">
            <w:pPr>
              <w:pStyle w:val="NoSpacing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1</w:t>
            </w:r>
            <w:r w:rsidR="00801AC1">
              <w:rPr>
                <w:b/>
                <w:bCs/>
                <w:lang w:val="sr-Cyrl-RS"/>
              </w:rPr>
              <w:t>5</w:t>
            </w:r>
          </w:p>
        </w:tc>
        <w:tc>
          <w:tcPr>
            <w:tcW w:w="708" w:type="dxa"/>
          </w:tcPr>
          <w:p w14:paraId="33AD4244" w14:textId="58C2D4E0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55" w:type="dxa"/>
          </w:tcPr>
          <w:p w14:paraId="18D40046" w14:textId="143D750B" w:rsidR="00037AEC" w:rsidRDefault="003C3E87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77" w:type="dxa"/>
          </w:tcPr>
          <w:p w14:paraId="181B418B" w14:textId="55CF6042" w:rsidR="00037AEC" w:rsidRDefault="00C408D5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9" w:type="dxa"/>
          </w:tcPr>
          <w:p w14:paraId="68AE293E" w14:textId="0E28A5A9" w:rsidR="00037AEC" w:rsidRPr="00801AC1" w:rsidRDefault="003C3E87" w:rsidP="000D6809">
            <w:pPr>
              <w:pStyle w:val="NoSpacing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5</w:t>
            </w:r>
            <w:r w:rsidR="00801AC1">
              <w:rPr>
                <w:b/>
                <w:bCs/>
                <w:lang w:val="sr-Cyrl-RS"/>
              </w:rPr>
              <w:t>0</w:t>
            </w:r>
          </w:p>
        </w:tc>
      </w:tr>
      <w:tr w:rsidR="0094255A" w14:paraId="0D2289AA" w14:textId="77777777" w:rsidTr="00232C6E">
        <w:trPr>
          <w:trHeight w:val="1026"/>
        </w:trPr>
        <w:tc>
          <w:tcPr>
            <w:tcW w:w="846" w:type="dxa"/>
            <w:vMerge w:val="restart"/>
            <w:textDirection w:val="btLr"/>
          </w:tcPr>
          <w:p w14:paraId="1437B0A8" w14:textId="77777777" w:rsidR="00FC6DB2" w:rsidRDefault="00320F1A" w:rsidP="006B5662">
            <w:pPr>
              <w:pStyle w:val="NoSpacing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vanrednih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FAF582C" w14:textId="257BAA0E" w:rsidR="00D8176F" w:rsidRPr="007404E2" w:rsidRDefault="00320F1A" w:rsidP="006B5662">
            <w:pPr>
              <w:pStyle w:val="NoSpacing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7404E2">
              <w:rPr>
                <w:b/>
                <w:bCs/>
                <w:sz w:val="18"/>
                <w:szCs w:val="18"/>
              </w:rPr>
              <w:t>insp.nadzora</w:t>
            </w:r>
            <w:proofErr w:type="spellEnd"/>
            <w:proofErr w:type="gramEnd"/>
          </w:p>
        </w:tc>
        <w:tc>
          <w:tcPr>
            <w:tcW w:w="1417" w:type="dxa"/>
          </w:tcPr>
          <w:p w14:paraId="09E8EC98" w14:textId="5377C8DA" w:rsidR="00D8176F" w:rsidRPr="007404E2" w:rsidRDefault="00320F1A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7404E2">
              <w:rPr>
                <w:b/>
                <w:bCs/>
                <w:sz w:val="18"/>
                <w:szCs w:val="18"/>
              </w:rPr>
              <w:t xml:space="preserve">Po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predstavci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ili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ako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je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procenjen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visok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ili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kritičan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rizik</w:t>
            </w:r>
            <w:proofErr w:type="spellEnd"/>
          </w:p>
        </w:tc>
        <w:tc>
          <w:tcPr>
            <w:tcW w:w="567" w:type="dxa"/>
          </w:tcPr>
          <w:p w14:paraId="14D660C3" w14:textId="19C3DC58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7F4AC4F8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72735DC5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EE13C30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31CECD63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5AA2189" w14:textId="549C7E8B" w:rsidR="00D8176F" w:rsidRDefault="00F825F2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5" w:type="dxa"/>
          </w:tcPr>
          <w:p w14:paraId="4AD5650D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77928D38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4C4093F4" w14:textId="7028DB5F" w:rsidR="00D8176F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4255A" w14:paraId="67F442BB" w14:textId="77777777" w:rsidTr="00232C6E">
        <w:trPr>
          <w:trHeight w:val="829"/>
        </w:trPr>
        <w:tc>
          <w:tcPr>
            <w:tcW w:w="846" w:type="dxa"/>
            <w:vMerge/>
          </w:tcPr>
          <w:p w14:paraId="0107FF46" w14:textId="77777777" w:rsidR="00D8176F" w:rsidRPr="007404E2" w:rsidRDefault="00D8176F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5C649563" w14:textId="32EAF18E" w:rsidR="00D8176F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7404E2">
              <w:rPr>
                <w:b/>
                <w:bCs/>
                <w:sz w:val="18"/>
                <w:szCs w:val="18"/>
              </w:rPr>
              <w:t xml:space="preserve">Po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zahtevu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nadziranog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subjekta</w:t>
            </w:r>
            <w:proofErr w:type="spellEnd"/>
          </w:p>
        </w:tc>
        <w:tc>
          <w:tcPr>
            <w:tcW w:w="567" w:type="dxa"/>
          </w:tcPr>
          <w:p w14:paraId="2AD8E2F8" w14:textId="5661907F" w:rsidR="00D8176F" w:rsidRDefault="003C3E87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53" w:type="dxa"/>
          </w:tcPr>
          <w:p w14:paraId="5D8802F5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45E6658E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2D2D400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D1BCE8D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ECFED2A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59CA13FC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386D9F70" w14:textId="77777777" w:rsidR="00D8176F" w:rsidRDefault="00D8176F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608A4CF3" w14:textId="4C051D04" w:rsidR="00D8176F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4255A" w14:paraId="623F1C1B" w14:textId="77777777" w:rsidTr="00FC6DB2">
        <w:tc>
          <w:tcPr>
            <w:tcW w:w="2263" w:type="dxa"/>
            <w:gridSpan w:val="2"/>
          </w:tcPr>
          <w:p w14:paraId="20B0ECBB" w14:textId="0ADBD6C4" w:rsidR="00037AEC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kontrolnih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404E2">
              <w:rPr>
                <w:b/>
                <w:bCs/>
                <w:sz w:val="18"/>
                <w:szCs w:val="18"/>
              </w:rPr>
              <w:t>insp.nadzora</w:t>
            </w:r>
            <w:proofErr w:type="spellEnd"/>
            <w:proofErr w:type="gramEnd"/>
          </w:p>
        </w:tc>
        <w:tc>
          <w:tcPr>
            <w:tcW w:w="567" w:type="dxa"/>
          </w:tcPr>
          <w:p w14:paraId="3E7691E2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65C75DAC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2C616FC5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31099BB4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8A718A3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D6913A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63240A31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78A7E4CC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5C014EA2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94255A" w14:paraId="10899D92" w14:textId="77777777" w:rsidTr="00FC6DB2">
        <w:tc>
          <w:tcPr>
            <w:tcW w:w="2263" w:type="dxa"/>
            <w:gridSpan w:val="2"/>
          </w:tcPr>
          <w:p w14:paraId="2A2624FB" w14:textId="7D895674" w:rsidR="00037AEC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Ukupan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zapisnika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o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izvršenim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IN</w:t>
            </w:r>
          </w:p>
        </w:tc>
        <w:tc>
          <w:tcPr>
            <w:tcW w:w="567" w:type="dxa"/>
          </w:tcPr>
          <w:p w14:paraId="14657D9D" w14:textId="7097A4C7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" w:type="dxa"/>
          </w:tcPr>
          <w:p w14:paraId="1490AE01" w14:textId="1A38A1B9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65" w:type="dxa"/>
          </w:tcPr>
          <w:p w14:paraId="0D70182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205B8E6D" w14:textId="7680CF29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93" w:type="dxa"/>
          </w:tcPr>
          <w:p w14:paraId="7373A18B" w14:textId="56C56162" w:rsidR="00037AEC" w:rsidRPr="00801AC1" w:rsidRDefault="000D6809" w:rsidP="006B5662">
            <w:pPr>
              <w:pStyle w:val="NoSpacing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1</w:t>
            </w:r>
            <w:r w:rsidR="00801AC1">
              <w:rPr>
                <w:b/>
                <w:bCs/>
                <w:lang w:val="sr-Cyrl-RS"/>
              </w:rPr>
              <w:t>5</w:t>
            </w:r>
          </w:p>
        </w:tc>
        <w:tc>
          <w:tcPr>
            <w:tcW w:w="708" w:type="dxa"/>
          </w:tcPr>
          <w:p w14:paraId="3609494F" w14:textId="3B240008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55" w:type="dxa"/>
          </w:tcPr>
          <w:p w14:paraId="1D4E2043" w14:textId="42DE15BB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77" w:type="dxa"/>
          </w:tcPr>
          <w:p w14:paraId="59386588" w14:textId="09CBCC60" w:rsidR="00037AEC" w:rsidRDefault="000D6809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9" w:type="dxa"/>
          </w:tcPr>
          <w:p w14:paraId="639BFF46" w14:textId="434CCBC0" w:rsidR="00037AEC" w:rsidRPr="00801AC1" w:rsidRDefault="000D6809" w:rsidP="00B50D4B">
            <w:pPr>
              <w:pStyle w:val="NoSpacing"/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</w:rPr>
              <w:t>5</w:t>
            </w:r>
            <w:r w:rsidR="00801AC1">
              <w:rPr>
                <w:b/>
                <w:bCs/>
                <w:lang w:val="sr-Cyrl-RS"/>
              </w:rPr>
              <w:t>3</w:t>
            </w:r>
          </w:p>
        </w:tc>
      </w:tr>
      <w:tr w:rsidR="0094255A" w14:paraId="4AB85C9E" w14:textId="77777777" w:rsidTr="00FC6DB2">
        <w:tc>
          <w:tcPr>
            <w:tcW w:w="2263" w:type="dxa"/>
            <w:gridSpan w:val="2"/>
          </w:tcPr>
          <w:p w14:paraId="0A6EA469" w14:textId="212AD44C" w:rsidR="00037AEC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zapisnika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sa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izrečenim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merama</w:t>
            </w:r>
            <w:proofErr w:type="spellEnd"/>
          </w:p>
        </w:tc>
        <w:tc>
          <w:tcPr>
            <w:tcW w:w="567" w:type="dxa"/>
          </w:tcPr>
          <w:p w14:paraId="51A616BA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6BC2BB74" w14:textId="2D28D636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65" w:type="dxa"/>
          </w:tcPr>
          <w:p w14:paraId="289E41D6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506969" w14:textId="38367C84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14:paraId="59E8C39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51A4B858" w14:textId="3F9A863B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55" w:type="dxa"/>
          </w:tcPr>
          <w:p w14:paraId="3740FA2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52C9C9D7" w14:textId="318EB766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9" w:type="dxa"/>
          </w:tcPr>
          <w:p w14:paraId="225119DE" w14:textId="3EA64BDE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4255A" w14:paraId="74DF8966" w14:textId="77777777" w:rsidTr="00FC6DB2">
        <w:tc>
          <w:tcPr>
            <w:tcW w:w="2263" w:type="dxa"/>
            <w:gridSpan w:val="2"/>
          </w:tcPr>
          <w:p w14:paraId="1DC5F63D" w14:textId="2C5E358C" w:rsidR="00037AEC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Ukupan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službenih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beleški</w:t>
            </w:r>
            <w:proofErr w:type="spellEnd"/>
          </w:p>
        </w:tc>
        <w:tc>
          <w:tcPr>
            <w:tcW w:w="567" w:type="dxa"/>
          </w:tcPr>
          <w:p w14:paraId="4E8437A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41581C65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6C462BE6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B0F1542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CAF64CF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1FBB3F41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6D76635F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71CF2DA4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3416EFC7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94255A" w14:paraId="7C41C7A2" w14:textId="77777777" w:rsidTr="00FC6DB2">
        <w:tc>
          <w:tcPr>
            <w:tcW w:w="2263" w:type="dxa"/>
            <w:gridSpan w:val="2"/>
          </w:tcPr>
          <w:p w14:paraId="3EA70DA8" w14:textId="7E32C062" w:rsidR="00037AEC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Ukupan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donetih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rešenja</w:t>
            </w:r>
            <w:proofErr w:type="spellEnd"/>
          </w:p>
        </w:tc>
        <w:tc>
          <w:tcPr>
            <w:tcW w:w="567" w:type="dxa"/>
          </w:tcPr>
          <w:p w14:paraId="29C3CCC2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57930970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3EDDFB28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64F915D4" w14:textId="0F9B53E3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</w:tcPr>
          <w:p w14:paraId="42C7603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5C34E5C" w14:textId="05F9FEDE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55" w:type="dxa"/>
          </w:tcPr>
          <w:p w14:paraId="60A20F96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443CEA8C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6FFEDCC4" w14:textId="26ED9299" w:rsidR="00037AEC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4255A" w14:paraId="75EF70B3" w14:textId="77777777" w:rsidTr="00FC6DB2">
        <w:tc>
          <w:tcPr>
            <w:tcW w:w="2263" w:type="dxa"/>
            <w:gridSpan w:val="2"/>
          </w:tcPr>
          <w:p w14:paraId="02948565" w14:textId="22F2DC5F" w:rsidR="00037AEC" w:rsidRPr="007404E2" w:rsidRDefault="006B566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Ukupan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izrečenih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zabrana</w:t>
            </w:r>
            <w:proofErr w:type="spellEnd"/>
          </w:p>
        </w:tc>
        <w:tc>
          <w:tcPr>
            <w:tcW w:w="567" w:type="dxa"/>
          </w:tcPr>
          <w:p w14:paraId="16CE2AC4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7E4B6816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2DE4FE64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5001978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2FDDF3F3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70E48592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09E51925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35025185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34FE342F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94255A" w14:paraId="34F2BFA3" w14:textId="77777777" w:rsidTr="00232C6E">
        <w:tc>
          <w:tcPr>
            <w:tcW w:w="846" w:type="dxa"/>
            <w:vMerge w:val="restart"/>
            <w:textDirection w:val="btLr"/>
          </w:tcPr>
          <w:p w14:paraId="7DC372BE" w14:textId="45B097A3" w:rsidR="00BF0223" w:rsidRPr="007404E2" w:rsidRDefault="007404E2" w:rsidP="007404E2">
            <w:pPr>
              <w:pStyle w:val="NoSpacing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Preventivno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delovanje</w:t>
            </w:r>
            <w:proofErr w:type="spellEnd"/>
          </w:p>
        </w:tc>
        <w:tc>
          <w:tcPr>
            <w:tcW w:w="1417" w:type="dxa"/>
          </w:tcPr>
          <w:p w14:paraId="2C200DC6" w14:textId="002560D8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Preventivni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404E2">
              <w:rPr>
                <w:b/>
                <w:bCs/>
                <w:sz w:val="18"/>
                <w:szCs w:val="18"/>
              </w:rPr>
              <w:t>inspekc.nadzori</w:t>
            </w:r>
            <w:proofErr w:type="spellEnd"/>
            <w:proofErr w:type="gramEnd"/>
          </w:p>
        </w:tc>
        <w:tc>
          <w:tcPr>
            <w:tcW w:w="567" w:type="dxa"/>
          </w:tcPr>
          <w:p w14:paraId="4E15DCA2" w14:textId="430EDC23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37BE0533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0FDA40E9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2F8D3C8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5EE16EC7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963C14E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52FB8E39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178C0616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71D24A9D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94255A" w14:paraId="236DD123" w14:textId="77777777" w:rsidTr="00232C6E">
        <w:tc>
          <w:tcPr>
            <w:tcW w:w="846" w:type="dxa"/>
            <w:vMerge/>
          </w:tcPr>
          <w:p w14:paraId="5FAE9DB0" w14:textId="77777777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197693" w14:textId="434F4F7A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Službene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savetodavne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posete</w:t>
            </w:r>
            <w:proofErr w:type="spellEnd"/>
          </w:p>
        </w:tc>
        <w:tc>
          <w:tcPr>
            <w:tcW w:w="567" w:type="dxa"/>
          </w:tcPr>
          <w:p w14:paraId="48E46219" w14:textId="31AA1CA3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7C9427E7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5ACBCC6A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76DF651" w14:textId="5B9A6623" w:rsidR="00BF0223" w:rsidRDefault="00232C6E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" w:type="dxa"/>
          </w:tcPr>
          <w:p w14:paraId="308F6C46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09399406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00F04E73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1DFE41F5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3E3525FA" w14:textId="583743BA" w:rsidR="00BF0223" w:rsidRDefault="00B50D4B" w:rsidP="006B5662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4255A" w14:paraId="5D80B562" w14:textId="77777777" w:rsidTr="00232C6E">
        <w:tc>
          <w:tcPr>
            <w:tcW w:w="846" w:type="dxa"/>
            <w:vMerge w:val="restart"/>
            <w:textDirection w:val="btLr"/>
          </w:tcPr>
          <w:p w14:paraId="46FCE9AE" w14:textId="438F5FFF" w:rsidR="00BF0223" w:rsidRPr="007404E2" w:rsidRDefault="007404E2" w:rsidP="007404E2">
            <w:pPr>
              <w:pStyle w:val="NoSpacing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lastRenderedPageBreak/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podnetih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prijava</w:t>
            </w:r>
            <w:proofErr w:type="spellEnd"/>
          </w:p>
        </w:tc>
        <w:tc>
          <w:tcPr>
            <w:tcW w:w="1417" w:type="dxa"/>
          </w:tcPr>
          <w:p w14:paraId="4AF4F05D" w14:textId="38D4142A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Prekršajne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prijave</w:t>
            </w:r>
            <w:proofErr w:type="spellEnd"/>
          </w:p>
        </w:tc>
        <w:tc>
          <w:tcPr>
            <w:tcW w:w="567" w:type="dxa"/>
          </w:tcPr>
          <w:p w14:paraId="6F9D9A5D" w14:textId="6C74768D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0C37E00B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569ABC05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092BE43C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73DF9228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2F709DB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3A42042E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11A72896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54CCCE18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94255A" w14:paraId="40B614DE" w14:textId="77777777" w:rsidTr="00232C6E">
        <w:tc>
          <w:tcPr>
            <w:tcW w:w="846" w:type="dxa"/>
            <w:vMerge/>
          </w:tcPr>
          <w:p w14:paraId="2DBB6ABC" w14:textId="77777777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DB33C43" w14:textId="5657ABDA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Prijave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za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privredni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prestup</w:t>
            </w:r>
            <w:proofErr w:type="spellEnd"/>
          </w:p>
        </w:tc>
        <w:tc>
          <w:tcPr>
            <w:tcW w:w="567" w:type="dxa"/>
          </w:tcPr>
          <w:p w14:paraId="09FA8AFD" w14:textId="18FD04F0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6BB2B378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419BFF33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189A2411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C66602A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2E8409BE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1A7699D0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52F78798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7D19B38C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94255A" w14:paraId="2A70233A" w14:textId="77777777" w:rsidTr="00232C6E">
        <w:tc>
          <w:tcPr>
            <w:tcW w:w="846" w:type="dxa"/>
            <w:vMerge/>
          </w:tcPr>
          <w:p w14:paraId="244B63EA" w14:textId="77777777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091FD" w14:textId="0C586EB7" w:rsidR="00BF0223" w:rsidRPr="007404E2" w:rsidRDefault="007404E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Krivične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04E2">
              <w:rPr>
                <w:b/>
                <w:bCs/>
                <w:sz w:val="18"/>
                <w:szCs w:val="18"/>
              </w:rPr>
              <w:t>prijave</w:t>
            </w:r>
            <w:proofErr w:type="spellEnd"/>
          </w:p>
        </w:tc>
        <w:tc>
          <w:tcPr>
            <w:tcW w:w="567" w:type="dxa"/>
          </w:tcPr>
          <w:p w14:paraId="7B44C49F" w14:textId="27BBBD79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183805F2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3848C3E5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5A8FFDC2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106E5F3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0B07963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6D2DAA32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0BE73B33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40D6D0E5" w14:textId="77777777" w:rsidR="00BF0223" w:rsidRDefault="00BF0223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BF0223" w14:paraId="1D27329F" w14:textId="77777777" w:rsidTr="0094255A">
        <w:tc>
          <w:tcPr>
            <w:tcW w:w="2263" w:type="dxa"/>
            <w:gridSpan w:val="2"/>
          </w:tcPr>
          <w:p w14:paraId="2B044163" w14:textId="77777777" w:rsidR="00BF0223" w:rsidRPr="007404E2" w:rsidRDefault="00BF0223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gridSpan w:val="9"/>
          </w:tcPr>
          <w:p w14:paraId="287B871A" w14:textId="1E69A852" w:rsidR="00BF0223" w:rsidRPr="00CB2DE2" w:rsidRDefault="00BF0223" w:rsidP="006B5662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CB2DE2">
              <w:rPr>
                <w:b/>
                <w:bCs/>
                <w:sz w:val="20"/>
                <w:szCs w:val="20"/>
              </w:rPr>
              <w:t>INSPEKCIJSKI NADZOR NAD NEREGISTROVANIM SUBJEKTIMA</w:t>
            </w:r>
          </w:p>
        </w:tc>
      </w:tr>
      <w:tr w:rsidR="0094255A" w14:paraId="2DA6E985" w14:textId="77777777" w:rsidTr="00FC6DB2">
        <w:tc>
          <w:tcPr>
            <w:tcW w:w="2263" w:type="dxa"/>
            <w:gridSpan w:val="2"/>
          </w:tcPr>
          <w:p w14:paraId="03CDC672" w14:textId="65D02282" w:rsidR="00037AEC" w:rsidRPr="007404E2" w:rsidRDefault="007404E2" w:rsidP="006B5662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7404E2">
              <w:rPr>
                <w:b/>
                <w:bCs/>
                <w:sz w:val="18"/>
                <w:szCs w:val="18"/>
              </w:rPr>
              <w:t>Broj</w:t>
            </w:r>
            <w:proofErr w:type="spell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404E2">
              <w:rPr>
                <w:b/>
                <w:bCs/>
                <w:sz w:val="18"/>
                <w:szCs w:val="18"/>
              </w:rPr>
              <w:t>inspek.nadzora</w:t>
            </w:r>
            <w:proofErr w:type="spellEnd"/>
            <w:proofErr w:type="gramEnd"/>
            <w:r w:rsidRPr="007404E2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0842BE3D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3" w:type="dxa"/>
          </w:tcPr>
          <w:p w14:paraId="0388CDD4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665" w:type="dxa"/>
          </w:tcPr>
          <w:p w14:paraId="324D032D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14:paraId="4F7FA1EC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14:paraId="6E73CCFF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14:paraId="6B8C52E9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055" w:type="dxa"/>
          </w:tcPr>
          <w:p w14:paraId="0155B3A7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77" w:type="dxa"/>
          </w:tcPr>
          <w:p w14:paraId="4FD9BCA6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9" w:type="dxa"/>
          </w:tcPr>
          <w:p w14:paraId="6F2701DF" w14:textId="77777777" w:rsidR="00037AEC" w:rsidRDefault="00037AEC" w:rsidP="006B5662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14:paraId="4AFF1EC2" w14:textId="77777777" w:rsidR="007404E2" w:rsidRDefault="005E0607" w:rsidP="00E70963">
      <w:pPr>
        <w:pStyle w:val="NoSpacing"/>
        <w:jc w:val="both"/>
        <w:rPr>
          <w:b/>
          <w:bCs/>
        </w:rPr>
      </w:pPr>
      <w:r w:rsidRPr="0043327F">
        <w:rPr>
          <w:b/>
          <w:bCs/>
        </w:rPr>
        <w:t xml:space="preserve">                                                                                   </w:t>
      </w:r>
      <w:r w:rsidR="007363DF" w:rsidRPr="0043327F">
        <w:rPr>
          <w:b/>
          <w:bCs/>
        </w:rPr>
        <w:t xml:space="preserve">                                                </w:t>
      </w:r>
    </w:p>
    <w:p w14:paraId="4923E78B" w14:textId="6B05DB68" w:rsidR="005B6F76" w:rsidRDefault="00CB2DE2" w:rsidP="00E628DB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</w:t>
      </w:r>
    </w:p>
    <w:p w14:paraId="3869396B" w14:textId="2AFF971B" w:rsidR="00725512" w:rsidRDefault="00725512" w:rsidP="00CB2DE2">
      <w:pPr>
        <w:pStyle w:val="NoSpacing"/>
        <w:rPr>
          <w:b/>
          <w:bCs/>
        </w:rPr>
      </w:pPr>
      <w:r>
        <w:rPr>
          <w:b/>
          <w:bCs/>
        </w:rPr>
        <w:t>Legenda:</w:t>
      </w:r>
    </w:p>
    <w:p w14:paraId="2A54A2E7" w14:textId="517F2280" w:rsidR="00725512" w:rsidRPr="00E628DB" w:rsidRDefault="00725512" w:rsidP="00CB2DE2">
      <w:pPr>
        <w:pStyle w:val="NoSpacing"/>
        <w:rPr>
          <w:b/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OBLAST INSPEKCIJSKOG NADZORA:</w:t>
      </w:r>
    </w:p>
    <w:p w14:paraId="155B6E2E" w14:textId="07AE4DCB" w:rsidR="00725512" w:rsidRPr="00E628DB" w:rsidRDefault="00725512" w:rsidP="00567C61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ZŽS-</w:t>
      </w:r>
      <w:proofErr w:type="spellStart"/>
      <w:r w:rsidR="00567C61" w:rsidRPr="00E628DB">
        <w:rPr>
          <w:bCs/>
          <w:sz w:val="20"/>
          <w:szCs w:val="20"/>
        </w:rPr>
        <w:t>I</w:t>
      </w:r>
      <w:r w:rsidRPr="00E628DB">
        <w:rPr>
          <w:bCs/>
          <w:sz w:val="20"/>
          <w:szCs w:val="20"/>
        </w:rPr>
        <w:t>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 xml:space="preserve"> o </w:t>
      </w:r>
      <w:proofErr w:type="spellStart"/>
      <w:r w:rsidRPr="00E628DB">
        <w:rPr>
          <w:bCs/>
          <w:sz w:val="20"/>
          <w:szCs w:val="20"/>
        </w:rPr>
        <w:t>zaštiti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životne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sredine</w:t>
      </w:r>
      <w:proofErr w:type="spellEnd"/>
      <w:r w:rsidR="007862D7" w:rsidRPr="00E628DB">
        <w:rPr>
          <w:bCs/>
          <w:sz w:val="20"/>
          <w:szCs w:val="20"/>
        </w:rPr>
        <w:t xml:space="preserve"> („Sl. </w:t>
      </w:r>
      <w:proofErr w:type="spellStart"/>
      <w:r w:rsidR="007862D7" w:rsidRPr="00E628DB">
        <w:rPr>
          <w:bCs/>
          <w:sz w:val="20"/>
          <w:szCs w:val="20"/>
        </w:rPr>
        <w:t>glasnik</w:t>
      </w:r>
      <w:proofErr w:type="spellEnd"/>
      <w:r w:rsidR="007862D7" w:rsidRPr="00E628DB">
        <w:rPr>
          <w:bCs/>
          <w:sz w:val="20"/>
          <w:szCs w:val="20"/>
        </w:rPr>
        <w:t xml:space="preserve"> </w:t>
      </w:r>
      <w:proofErr w:type="gramStart"/>
      <w:r w:rsidR="007862D7" w:rsidRPr="00E628DB">
        <w:rPr>
          <w:bCs/>
          <w:sz w:val="20"/>
          <w:szCs w:val="20"/>
        </w:rPr>
        <w:t>RS“ br</w:t>
      </w:r>
      <w:proofErr w:type="gramEnd"/>
      <w:r w:rsidR="007862D7" w:rsidRPr="00E628DB">
        <w:rPr>
          <w:bCs/>
          <w:sz w:val="20"/>
          <w:szCs w:val="20"/>
        </w:rPr>
        <w:t xml:space="preserve">:135/04; 36/09; 72/09 </w:t>
      </w:r>
      <w:proofErr w:type="spellStart"/>
      <w:r w:rsidR="007862D7" w:rsidRPr="00E628DB">
        <w:rPr>
          <w:bCs/>
          <w:sz w:val="20"/>
          <w:szCs w:val="20"/>
        </w:rPr>
        <w:t>i</w:t>
      </w:r>
      <w:proofErr w:type="spellEnd"/>
      <w:r w:rsidR="007862D7" w:rsidRPr="00E628DB">
        <w:rPr>
          <w:bCs/>
          <w:sz w:val="20"/>
          <w:szCs w:val="20"/>
        </w:rPr>
        <w:t xml:space="preserve"> </w:t>
      </w:r>
      <w:proofErr w:type="spellStart"/>
      <w:r w:rsidR="007862D7" w:rsidRPr="00E628DB">
        <w:rPr>
          <w:bCs/>
          <w:sz w:val="20"/>
          <w:szCs w:val="20"/>
        </w:rPr>
        <w:t>dr</w:t>
      </w:r>
      <w:proofErr w:type="spellEnd"/>
      <w:r w:rsidR="007862D7" w:rsidRPr="00E628DB">
        <w:rPr>
          <w:bCs/>
          <w:sz w:val="20"/>
          <w:szCs w:val="20"/>
        </w:rPr>
        <w:t xml:space="preserve"> </w:t>
      </w:r>
      <w:proofErr w:type="spellStart"/>
      <w:r w:rsidR="007862D7" w:rsidRPr="00E628DB">
        <w:rPr>
          <w:bCs/>
          <w:sz w:val="20"/>
          <w:szCs w:val="20"/>
        </w:rPr>
        <w:t>zakoni</w:t>
      </w:r>
      <w:proofErr w:type="spellEnd"/>
      <w:r w:rsidR="007862D7" w:rsidRPr="00E628DB">
        <w:rPr>
          <w:bCs/>
          <w:sz w:val="20"/>
          <w:szCs w:val="20"/>
        </w:rPr>
        <w:t xml:space="preserve"> </w:t>
      </w:r>
      <w:proofErr w:type="spellStart"/>
      <w:r w:rsidR="007862D7" w:rsidRPr="00E628DB">
        <w:rPr>
          <w:bCs/>
          <w:sz w:val="20"/>
          <w:szCs w:val="20"/>
        </w:rPr>
        <w:t>i</w:t>
      </w:r>
      <w:proofErr w:type="spellEnd"/>
      <w:r w:rsidR="007862D7" w:rsidRPr="00E628DB">
        <w:rPr>
          <w:bCs/>
          <w:sz w:val="20"/>
          <w:szCs w:val="20"/>
        </w:rPr>
        <w:t xml:space="preserve"> 43/2011 </w:t>
      </w:r>
      <w:proofErr w:type="spellStart"/>
      <w:r w:rsidR="007862D7" w:rsidRPr="00E628DB">
        <w:rPr>
          <w:bCs/>
          <w:sz w:val="20"/>
          <w:szCs w:val="20"/>
        </w:rPr>
        <w:t>odluka</w:t>
      </w:r>
      <w:proofErr w:type="spellEnd"/>
      <w:r w:rsidR="007862D7" w:rsidRPr="00E628DB">
        <w:rPr>
          <w:bCs/>
          <w:sz w:val="20"/>
          <w:szCs w:val="20"/>
        </w:rPr>
        <w:t xml:space="preserve"> US, 14/201</w:t>
      </w:r>
      <w:r w:rsidR="00567C61" w:rsidRPr="00E628DB">
        <w:rPr>
          <w:bCs/>
          <w:sz w:val="20"/>
          <w:szCs w:val="20"/>
        </w:rPr>
        <w:t xml:space="preserve">6, 76/18, 95/18 </w:t>
      </w:r>
      <w:proofErr w:type="spellStart"/>
      <w:r w:rsidR="00567C61" w:rsidRPr="00E628DB">
        <w:rPr>
          <w:bCs/>
          <w:sz w:val="20"/>
          <w:szCs w:val="20"/>
        </w:rPr>
        <w:t>i</w:t>
      </w:r>
      <w:proofErr w:type="spellEnd"/>
      <w:r w:rsidR="00567C61" w:rsidRPr="00E628DB">
        <w:rPr>
          <w:bCs/>
          <w:sz w:val="20"/>
          <w:szCs w:val="20"/>
        </w:rPr>
        <w:t xml:space="preserve"> dr. </w:t>
      </w:r>
      <w:proofErr w:type="spellStart"/>
      <w:r w:rsidR="00567C61" w:rsidRPr="00E628DB">
        <w:rPr>
          <w:bCs/>
          <w:sz w:val="20"/>
          <w:szCs w:val="20"/>
        </w:rPr>
        <w:t>zakon</w:t>
      </w:r>
      <w:proofErr w:type="spellEnd"/>
      <w:r w:rsidR="00567C61" w:rsidRPr="00E628DB">
        <w:rPr>
          <w:bCs/>
          <w:sz w:val="20"/>
          <w:szCs w:val="20"/>
        </w:rPr>
        <w:t xml:space="preserve">)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propisa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donetih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na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osnovu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ovog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zakona;energetska</w:t>
      </w:r>
      <w:proofErr w:type="spellEnd"/>
      <w:r w:rsidR="00567C61" w:rsidRPr="00E628DB">
        <w:rPr>
          <w:bCs/>
          <w:sz w:val="20"/>
          <w:szCs w:val="20"/>
        </w:rPr>
        <w:t xml:space="preserve"> </w:t>
      </w:r>
      <w:proofErr w:type="spellStart"/>
      <w:r w:rsidR="00567C61" w:rsidRPr="00E628DB">
        <w:rPr>
          <w:bCs/>
          <w:sz w:val="20"/>
          <w:szCs w:val="20"/>
        </w:rPr>
        <w:t>licenca</w:t>
      </w:r>
      <w:proofErr w:type="spellEnd"/>
      <w:r w:rsidR="00567C61" w:rsidRPr="00E628DB">
        <w:rPr>
          <w:bCs/>
          <w:sz w:val="20"/>
          <w:szCs w:val="20"/>
        </w:rPr>
        <w:t>;</w:t>
      </w:r>
    </w:p>
    <w:p w14:paraId="1F183225" w14:textId="38E60C66" w:rsidR="00567C61" w:rsidRPr="00E628DB" w:rsidRDefault="00567C61" w:rsidP="00567C61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STUDIJA O PROCENI UTICAJA</w:t>
      </w:r>
      <w:r w:rsidRPr="00E628DB">
        <w:rPr>
          <w:bCs/>
          <w:sz w:val="20"/>
          <w:szCs w:val="20"/>
        </w:rPr>
        <w:t xml:space="preserve">- </w:t>
      </w:r>
      <w:proofErr w:type="spellStart"/>
      <w:r w:rsidRPr="00E628DB">
        <w:rPr>
          <w:bCs/>
          <w:sz w:val="20"/>
          <w:szCs w:val="20"/>
        </w:rPr>
        <w:t>Inspekcijski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 xml:space="preserve"> o </w:t>
      </w:r>
      <w:proofErr w:type="spellStart"/>
      <w:r w:rsidRPr="00E628DB">
        <w:rPr>
          <w:bCs/>
          <w:sz w:val="20"/>
          <w:szCs w:val="20"/>
        </w:rPr>
        <w:t>proceni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uticaja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životnu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sredinu</w:t>
      </w:r>
      <w:proofErr w:type="spellEnd"/>
      <w:r w:rsidRPr="00E628DB">
        <w:rPr>
          <w:bCs/>
          <w:sz w:val="20"/>
          <w:szCs w:val="20"/>
        </w:rPr>
        <w:t xml:space="preserve"> ("</w:t>
      </w:r>
      <w:proofErr w:type="spellStart"/>
      <w:r w:rsidRPr="00E628DB">
        <w:rPr>
          <w:bCs/>
          <w:sz w:val="20"/>
          <w:szCs w:val="20"/>
        </w:rPr>
        <w:t>Službenom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glasniku</w:t>
      </w:r>
      <w:proofErr w:type="spellEnd"/>
      <w:r w:rsidRPr="00E628DB">
        <w:rPr>
          <w:bCs/>
          <w:sz w:val="20"/>
          <w:szCs w:val="20"/>
        </w:rPr>
        <w:t xml:space="preserve"> RS", br. 135/2004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36/2009</w:t>
      </w:r>
      <w:proofErr w:type="gramStart"/>
      <w:r w:rsidRPr="00E628DB">
        <w:rPr>
          <w:bCs/>
          <w:sz w:val="20"/>
          <w:szCs w:val="20"/>
        </w:rPr>
        <w:t>)</w:t>
      </w:r>
      <w:r w:rsidR="00BA2B41" w:rsidRPr="00E628D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BA2B41" w:rsidRPr="00E628DB">
        <w:rPr>
          <w:bCs/>
          <w:sz w:val="20"/>
          <w:szCs w:val="20"/>
        </w:rPr>
        <w:t>)</w:t>
      </w:r>
      <w:proofErr w:type="gram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propisa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donetih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na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osnovu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ovog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>;</w:t>
      </w:r>
    </w:p>
    <w:p w14:paraId="66F8E162" w14:textId="7D2433E2" w:rsidR="00567C61" w:rsidRPr="00E628DB" w:rsidRDefault="00567C61" w:rsidP="00567C61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IPPC</w:t>
      </w:r>
      <w:r w:rsidRPr="00E628DB">
        <w:rPr>
          <w:bCs/>
          <w:sz w:val="20"/>
          <w:szCs w:val="20"/>
        </w:rPr>
        <w:t xml:space="preserve">- </w:t>
      </w:r>
      <w:proofErr w:type="spellStart"/>
      <w:r w:rsidRPr="00E628DB">
        <w:rPr>
          <w:bCs/>
          <w:sz w:val="20"/>
          <w:szCs w:val="20"/>
        </w:rPr>
        <w:t>Inspekcijski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 xml:space="preserve"> o </w:t>
      </w:r>
      <w:proofErr w:type="spellStart"/>
      <w:r w:rsidRPr="00E628DB">
        <w:rPr>
          <w:bCs/>
          <w:sz w:val="20"/>
          <w:szCs w:val="20"/>
        </w:rPr>
        <w:t>integrisanom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sprečavanju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kontroli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zagađivanja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životne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sredine</w:t>
      </w:r>
      <w:proofErr w:type="spellEnd"/>
      <w:r w:rsidRPr="00E628DB">
        <w:rPr>
          <w:bCs/>
          <w:sz w:val="20"/>
          <w:szCs w:val="20"/>
        </w:rPr>
        <w:t xml:space="preserve"> („Sl. </w:t>
      </w:r>
      <w:proofErr w:type="spellStart"/>
      <w:r w:rsidRPr="00E628DB">
        <w:rPr>
          <w:bCs/>
          <w:sz w:val="20"/>
          <w:szCs w:val="20"/>
        </w:rPr>
        <w:t>glasnik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gramStart"/>
      <w:r w:rsidRPr="00E628DB">
        <w:rPr>
          <w:bCs/>
          <w:sz w:val="20"/>
          <w:szCs w:val="20"/>
        </w:rPr>
        <w:t>RS“</w:t>
      </w:r>
      <w:proofErr w:type="gramEnd"/>
      <w:r w:rsidRPr="00E628DB">
        <w:rPr>
          <w:bCs/>
          <w:sz w:val="20"/>
          <w:szCs w:val="20"/>
        </w:rPr>
        <w:t xml:space="preserve">, br. 36/2009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25/2015)</w:t>
      </w:r>
      <w:r w:rsidR="00BA2B41" w:rsidRPr="00E628D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BA2B41" w:rsidRPr="00E628DB">
        <w:rPr>
          <w:bCs/>
          <w:sz w:val="20"/>
          <w:szCs w:val="20"/>
        </w:rPr>
        <w:t xml:space="preserve">)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propisa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donetih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na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osnovu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ovog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>;</w:t>
      </w:r>
    </w:p>
    <w:p w14:paraId="006E9410" w14:textId="1F0FAEC1" w:rsidR="00567C61" w:rsidRPr="00E628DB" w:rsidRDefault="00567C61" w:rsidP="00567C61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OTPAD</w:t>
      </w:r>
      <w:r w:rsidRPr="00E628DB">
        <w:rPr>
          <w:bCs/>
          <w:sz w:val="20"/>
          <w:szCs w:val="20"/>
        </w:rPr>
        <w:t>-</w:t>
      </w:r>
      <w:r w:rsidR="00930A21" w:rsidRPr="00E628D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="00930A21" w:rsidRPr="00E628DB">
        <w:rPr>
          <w:bCs/>
          <w:sz w:val="20"/>
          <w:szCs w:val="20"/>
        </w:rPr>
        <w:t>Inspekcijski</w:t>
      </w:r>
      <w:proofErr w:type="spellEnd"/>
      <w:r w:rsidR="00930A21" w:rsidRPr="00E628DB">
        <w:rPr>
          <w:bCs/>
          <w:sz w:val="20"/>
          <w:szCs w:val="20"/>
        </w:rPr>
        <w:t xml:space="preserve"> </w:t>
      </w:r>
      <w:proofErr w:type="spellStart"/>
      <w:r w:rsidR="00930A21" w:rsidRPr="00E628DB">
        <w:rPr>
          <w:bCs/>
          <w:sz w:val="20"/>
          <w:szCs w:val="20"/>
        </w:rPr>
        <w:t>nadzori</w:t>
      </w:r>
      <w:proofErr w:type="spellEnd"/>
      <w:r w:rsidR="00930A21" w:rsidRPr="00E628DB">
        <w:rPr>
          <w:bCs/>
          <w:sz w:val="20"/>
          <w:szCs w:val="20"/>
        </w:rPr>
        <w:t xml:space="preserve"> </w:t>
      </w:r>
      <w:proofErr w:type="spellStart"/>
      <w:r w:rsidR="00930A21" w:rsidRPr="00E628DB">
        <w:rPr>
          <w:bCs/>
          <w:sz w:val="20"/>
          <w:szCs w:val="20"/>
        </w:rPr>
        <w:t>iz</w:t>
      </w:r>
      <w:proofErr w:type="spellEnd"/>
      <w:r w:rsidR="00930A21" w:rsidRPr="00E628DB">
        <w:rPr>
          <w:bCs/>
          <w:sz w:val="20"/>
          <w:szCs w:val="20"/>
        </w:rPr>
        <w:t xml:space="preserve"> </w:t>
      </w:r>
      <w:proofErr w:type="spellStart"/>
      <w:r w:rsidR="00930A21" w:rsidRPr="00E628DB">
        <w:rPr>
          <w:bCs/>
          <w:sz w:val="20"/>
          <w:szCs w:val="20"/>
        </w:rPr>
        <w:t>oblasti</w:t>
      </w:r>
      <w:proofErr w:type="spellEnd"/>
      <w:r w:rsidR="00930A21" w:rsidRPr="00E628DB">
        <w:rPr>
          <w:bCs/>
          <w:sz w:val="20"/>
          <w:szCs w:val="20"/>
        </w:rPr>
        <w:t xml:space="preserve"> </w:t>
      </w:r>
      <w:proofErr w:type="spellStart"/>
      <w:r w:rsidR="00930A21" w:rsidRPr="00E628DB">
        <w:rPr>
          <w:bCs/>
          <w:sz w:val="20"/>
          <w:szCs w:val="20"/>
        </w:rPr>
        <w:t>Zakona</w:t>
      </w:r>
      <w:proofErr w:type="spellEnd"/>
      <w:r w:rsidR="00E640E4" w:rsidRPr="00E628DB">
        <w:rPr>
          <w:bCs/>
          <w:sz w:val="20"/>
          <w:szCs w:val="20"/>
        </w:rPr>
        <w:t xml:space="preserve"> o </w:t>
      </w:r>
      <w:proofErr w:type="spellStart"/>
      <w:r w:rsidR="00E640E4" w:rsidRPr="00E628DB">
        <w:rPr>
          <w:bCs/>
          <w:sz w:val="20"/>
          <w:szCs w:val="20"/>
        </w:rPr>
        <w:t>upravljanju</w:t>
      </w:r>
      <w:proofErr w:type="spellEnd"/>
      <w:r w:rsidR="00E640E4" w:rsidRPr="00E628DB">
        <w:rPr>
          <w:bCs/>
          <w:sz w:val="20"/>
          <w:szCs w:val="20"/>
        </w:rPr>
        <w:t xml:space="preserve"> </w:t>
      </w:r>
      <w:proofErr w:type="spellStart"/>
      <w:r w:rsidR="00E640E4" w:rsidRPr="00E628DB">
        <w:rPr>
          <w:bCs/>
          <w:sz w:val="20"/>
          <w:szCs w:val="20"/>
        </w:rPr>
        <w:t>otpadom</w:t>
      </w:r>
      <w:proofErr w:type="spellEnd"/>
      <w:r w:rsidR="00E640E4" w:rsidRPr="00E628DB">
        <w:rPr>
          <w:bCs/>
          <w:sz w:val="20"/>
          <w:szCs w:val="20"/>
        </w:rPr>
        <w:t xml:space="preserve"> </w:t>
      </w:r>
      <w:r w:rsidR="008E178F" w:rsidRPr="00E628DB">
        <w:rPr>
          <w:bCs/>
          <w:sz w:val="20"/>
          <w:szCs w:val="20"/>
        </w:rPr>
        <w:t xml:space="preserve">("Sl. </w:t>
      </w:r>
      <w:proofErr w:type="spellStart"/>
      <w:r w:rsidR="008E178F" w:rsidRPr="00E628DB">
        <w:rPr>
          <w:bCs/>
          <w:sz w:val="20"/>
          <w:szCs w:val="20"/>
        </w:rPr>
        <w:t>glasnik</w:t>
      </w:r>
      <w:proofErr w:type="spellEnd"/>
      <w:r w:rsidR="008E178F" w:rsidRPr="00E628DB">
        <w:rPr>
          <w:bCs/>
          <w:sz w:val="20"/>
          <w:szCs w:val="20"/>
        </w:rPr>
        <w:t xml:space="preserve"> RS", br. 36/2009, 88/2010, 14/2016, 95/2018 - dr. </w:t>
      </w:r>
      <w:proofErr w:type="spellStart"/>
      <w:r w:rsidR="008E178F" w:rsidRPr="00E628DB">
        <w:rPr>
          <w:bCs/>
          <w:sz w:val="20"/>
          <w:szCs w:val="20"/>
        </w:rPr>
        <w:t>zakon</w:t>
      </w:r>
      <w:proofErr w:type="spellEnd"/>
      <w:r w:rsidR="008E178F" w:rsidRPr="00E628DB">
        <w:rPr>
          <w:bCs/>
          <w:sz w:val="20"/>
          <w:szCs w:val="20"/>
        </w:rPr>
        <w:t xml:space="preserve"> </w:t>
      </w:r>
      <w:proofErr w:type="spellStart"/>
      <w:r w:rsidR="008E178F" w:rsidRPr="00E628DB">
        <w:rPr>
          <w:bCs/>
          <w:sz w:val="20"/>
          <w:szCs w:val="20"/>
        </w:rPr>
        <w:t>i</w:t>
      </w:r>
      <w:proofErr w:type="spellEnd"/>
      <w:r w:rsidR="008E178F" w:rsidRPr="00E628DB">
        <w:rPr>
          <w:bCs/>
          <w:sz w:val="20"/>
          <w:szCs w:val="20"/>
        </w:rPr>
        <w:t xml:space="preserve"> 35/2023)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propisa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donetih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na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osnovu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ovog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zakona</w:t>
      </w:r>
      <w:proofErr w:type="spellEnd"/>
      <w:r w:rsidR="00E640E4" w:rsidRPr="00E628DB">
        <w:rPr>
          <w:bCs/>
          <w:sz w:val="20"/>
          <w:szCs w:val="20"/>
        </w:rPr>
        <w:t>;</w:t>
      </w:r>
    </w:p>
    <w:p w14:paraId="1674B14E" w14:textId="4C313059" w:rsidR="00E640E4" w:rsidRPr="00E628DB" w:rsidRDefault="00E640E4" w:rsidP="00E640E4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VAZDUH</w:t>
      </w:r>
      <w:r w:rsidRPr="00E628DB">
        <w:rPr>
          <w:bCs/>
          <w:sz w:val="20"/>
          <w:szCs w:val="20"/>
        </w:rPr>
        <w:t xml:space="preserve">- </w:t>
      </w:r>
      <w:proofErr w:type="spellStart"/>
      <w:r w:rsidRPr="00E628DB">
        <w:rPr>
          <w:bCs/>
          <w:sz w:val="20"/>
          <w:szCs w:val="20"/>
        </w:rPr>
        <w:t>Inspekcijski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628DB">
        <w:rPr>
          <w:bCs/>
          <w:sz w:val="20"/>
          <w:szCs w:val="20"/>
        </w:rPr>
        <w:t xml:space="preserve">o </w:t>
      </w:r>
      <w:proofErr w:type="spellStart"/>
      <w:r w:rsidRPr="00E628DB">
        <w:rPr>
          <w:bCs/>
          <w:sz w:val="20"/>
          <w:szCs w:val="20"/>
        </w:rPr>
        <w:t>zaštiti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vazduha</w:t>
      </w:r>
      <w:proofErr w:type="spellEnd"/>
      <w:r w:rsidRPr="00E628DB">
        <w:rPr>
          <w:bCs/>
          <w:sz w:val="20"/>
          <w:szCs w:val="20"/>
        </w:rPr>
        <w:t xml:space="preserve"> ("</w:t>
      </w:r>
      <w:proofErr w:type="spellStart"/>
      <w:r w:rsidRPr="00E628DB">
        <w:rPr>
          <w:bCs/>
          <w:sz w:val="20"/>
          <w:szCs w:val="20"/>
        </w:rPr>
        <w:t>Službenom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glasniku</w:t>
      </w:r>
      <w:proofErr w:type="spellEnd"/>
      <w:r w:rsidRPr="00E628DB">
        <w:rPr>
          <w:bCs/>
          <w:sz w:val="20"/>
          <w:szCs w:val="20"/>
        </w:rPr>
        <w:t xml:space="preserve"> RS", br.  36/2009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10/2013</w:t>
      </w:r>
      <w:proofErr w:type="gramStart"/>
      <w:r w:rsidRPr="00E628DB">
        <w:rPr>
          <w:bCs/>
          <w:sz w:val="20"/>
          <w:szCs w:val="20"/>
        </w:rPr>
        <w:t>)</w:t>
      </w:r>
      <w:r w:rsidR="00BA2B41" w:rsidRPr="00E628DB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proofErr w:type="gram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propisa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donetih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na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osnovu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ovog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>;</w:t>
      </w:r>
    </w:p>
    <w:p w14:paraId="257555C5" w14:textId="4BE8B69A" w:rsidR="00E640E4" w:rsidRPr="00E628DB" w:rsidRDefault="00E640E4" w:rsidP="00E640E4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BUKA</w:t>
      </w:r>
      <w:r w:rsidRPr="00E628DB">
        <w:rPr>
          <w:bCs/>
          <w:sz w:val="20"/>
          <w:szCs w:val="20"/>
        </w:rPr>
        <w:t xml:space="preserve">- </w:t>
      </w:r>
      <w:proofErr w:type="spellStart"/>
      <w:r w:rsidRPr="00E628DB">
        <w:rPr>
          <w:bCs/>
          <w:sz w:val="20"/>
          <w:szCs w:val="20"/>
        </w:rPr>
        <w:t>Inspekcijski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E628DB">
        <w:rPr>
          <w:bCs/>
          <w:sz w:val="20"/>
          <w:szCs w:val="20"/>
        </w:rPr>
        <w:t xml:space="preserve">o </w:t>
      </w:r>
      <w:proofErr w:type="spellStart"/>
      <w:r w:rsidRPr="00E628DB">
        <w:rPr>
          <w:bCs/>
          <w:sz w:val="20"/>
          <w:szCs w:val="20"/>
        </w:rPr>
        <w:t>zaštiti</w:t>
      </w:r>
      <w:proofErr w:type="spellEnd"/>
      <w:r w:rsidRPr="00E628DB">
        <w:rPr>
          <w:bCs/>
          <w:sz w:val="20"/>
          <w:szCs w:val="20"/>
        </w:rPr>
        <w:t xml:space="preserve"> od buke u </w:t>
      </w:r>
      <w:proofErr w:type="spellStart"/>
      <w:r w:rsidRPr="00E628DB">
        <w:rPr>
          <w:bCs/>
          <w:sz w:val="20"/>
          <w:szCs w:val="20"/>
        </w:rPr>
        <w:t>životnoj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sredini</w:t>
      </w:r>
      <w:proofErr w:type="spellEnd"/>
      <w:r w:rsidRPr="00E628DB">
        <w:rPr>
          <w:bCs/>
          <w:sz w:val="20"/>
          <w:szCs w:val="20"/>
        </w:rPr>
        <w:t xml:space="preserve"> (Sl. </w:t>
      </w:r>
      <w:proofErr w:type="spellStart"/>
      <w:r w:rsidRPr="00E628DB">
        <w:rPr>
          <w:bCs/>
          <w:sz w:val="20"/>
          <w:szCs w:val="20"/>
        </w:rPr>
        <w:t>glasnik</w:t>
      </w:r>
      <w:proofErr w:type="spellEnd"/>
      <w:r w:rsidRPr="00E628DB">
        <w:rPr>
          <w:bCs/>
          <w:sz w:val="20"/>
          <w:szCs w:val="20"/>
        </w:rPr>
        <w:t xml:space="preserve"> RS br. </w:t>
      </w:r>
      <w:r w:rsidR="00BA2B41" w:rsidRPr="00E628DB">
        <w:rPr>
          <w:bCs/>
          <w:sz w:val="20"/>
          <w:szCs w:val="20"/>
        </w:rPr>
        <w:t xml:space="preserve">("Sl. </w:t>
      </w:r>
      <w:proofErr w:type="spellStart"/>
      <w:r w:rsidR="00BA2B41" w:rsidRPr="00E628DB">
        <w:rPr>
          <w:bCs/>
          <w:sz w:val="20"/>
          <w:szCs w:val="20"/>
        </w:rPr>
        <w:t>glasnik</w:t>
      </w:r>
      <w:proofErr w:type="spellEnd"/>
      <w:r w:rsidR="00BA2B41" w:rsidRPr="00E628DB">
        <w:rPr>
          <w:bCs/>
          <w:sz w:val="20"/>
          <w:szCs w:val="20"/>
        </w:rPr>
        <w:t xml:space="preserve"> RS", br. 96/2021)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propisa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donetih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na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osnovu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ovog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>;</w:t>
      </w:r>
    </w:p>
    <w:p w14:paraId="088C6E6C" w14:textId="55DA6EF4" w:rsidR="00E640E4" w:rsidRPr="00E628DB" w:rsidRDefault="00E640E4" w:rsidP="00E640E4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NEJONIZUJUĆE ZRAČENJE</w:t>
      </w:r>
      <w:r w:rsidRPr="00E628DB">
        <w:rPr>
          <w:bCs/>
          <w:sz w:val="20"/>
          <w:szCs w:val="20"/>
        </w:rPr>
        <w:t xml:space="preserve">- </w:t>
      </w:r>
      <w:proofErr w:type="spellStart"/>
      <w:r w:rsidRPr="00E628DB">
        <w:rPr>
          <w:bCs/>
          <w:sz w:val="20"/>
          <w:szCs w:val="20"/>
        </w:rPr>
        <w:t>Inspekcijski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 xml:space="preserve"> o </w:t>
      </w:r>
      <w:proofErr w:type="spellStart"/>
      <w:r w:rsidRPr="00E628DB">
        <w:rPr>
          <w:bCs/>
          <w:sz w:val="20"/>
          <w:szCs w:val="20"/>
        </w:rPr>
        <w:t>zaštiti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od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nejonizujućih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zračenja</w:t>
      </w:r>
      <w:proofErr w:type="spellEnd"/>
      <w:r w:rsidRPr="00E628DB">
        <w:rPr>
          <w:bCs/>
          <w:sz w:val="20"/>
          <w:szCs w:val="20"/>
        </w:rPr>
        <w:t xml:space="preserve"> („Sl. </w:t>
      </w:r>
      <w:proofErr w:type="spellStart"/>
      <w:r w:rsidRPr="00E628DB">
        <w:rPr>
          <w:bCs/>
          <w:sz w:val="20"/>
          <w:szCs w:val="20"/>
        </w:rPr>
        <w:t>glasnik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gramStart"/>
      <w:r w:rsidRPr="00E628DB">
        <w:rPr>
          <w:bCs/>
          <w:sz w:val="20"/>
          <w:szCs w:val="20"/>
        </w:rPr>
        <w:t>RS“</w:t>
      </w:r>
      <w:proofErr w:type="gramEnd"/>
      <w:r w:rsidRPr="00E628DB">
        <w:rPr>
          <w:bCs/>
          <w:sz w:val="20"/>
          <w:szCs w:val="20"/>
        </w:rPr>
        <w:t>, br. 36/2009)</w:t>
      </w:r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i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propisa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donetih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na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osnovu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ovog</w:t>
      </w:r>
      <w:proofErr w:type="spellEnd"/>
      <w:r w:rsidR="00BA2B41" w:rsidRPr="00E628DB">
        <w:rPr>
          <w:bCs/>
          <w:sz w:val="20"/>
          <w:szCs w:val="20"/>
        </w:rPr>
        <w:t xml:space="preserve"> </w:t>
      </w:r>
      <w:proofErr w:type="spellStart"/>
      <w:r w:rsidR="00BA2B41"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>;</w:t>
      </w:r>
    </w:p>
    <w:p w14:paraId="6094DB64" w14:textId="4A992C20" w:rsidR="00BA2B41" w:rsidRPr="00E628DB" w:rsidRDefault="00BA2B41" w:rsidP="00BA2B41">
      <w:pPr>
        <w:pStyle w:val="NoSpacing"/>
        <w:ind w:firstLine="720"/>
        <w:jc w:val="both"/>
        <w:rPr>
          <w:bCs/>
          <w:sz w:val="20"/>
          <w:szCs w:val="20"/>
        </w:rPr>
      </w:pPr>
      <w:r w:rsidRPr="00E628DB">
        <w:rPr>
          <w:b/>
          <w:bCs/>
          <w:sz w:val="20"/>
          <w:szCs w:val="20"/>
        </w:rPr>
        <w:t>PRIRODA</w:t>
      </w:r>
      <w:r w:rsidRPr="00E628DB">
        <w:rPr>
          <w:bCs/>
          <w:sz w:val="20"/>
          <w:szCs w:val="20"/>
        </w:rPr>
        <w:t xml:space="preserve">- </w:t>
      </w:r>
      <w:proofErr w:type="spellStart"/>
      <w:r w:rsidRPr="00E628DB">
        <w:rPr>
          <w:bCs/>
          <w:sz w:val="20"/>
          <w:szCs w:val="20"/>
        </w:rPr>
        <w:t>Inspekcijski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nadzori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iz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oblasti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prirode</w:t>
      </w:r>
      <w:proofErr w:type="spellEnd"/>
      <w:r w:rsidRPr="00E628DB">
        <w:rPr>
          <w:bCs/>
          <w:sz w:val="20"/>
          <w:szCs w:val="20"/>
        </w:rPr>
        <w:t xml:space="preserve"> ("Sl. </w:t>
      </w:r>
      <w:proofErr w:type="spellStart"/>
      <w:r w:rsidRPr="00E628DB">
        <w:rPr>
          <w:bCs/>
          <w:sz w:val="20"/>
          <w:szCs w:val="20"/>
        </w:rPr>
        <w:t>glasnik</w:t>
      </w:r>
      <w:proofErr w:type="spellEnd"/>
      <w:r w:rsidRPr="00E628DB">
        <w:rPr>
          <w:bCs/>
          <w:sz w:val="20"/>
          <w:szCs w:val="20"/>
        </w:rPr>
        <w:t xml:space="preserve"> RS", br. 36/2009, 88/2010, 91/2010 - </w:t>
      </w:r>
      <w:proofErr w:type="spellStart"/>
      <w:r w:rsidRPr="00E628DB">
        <w:rPr>
          <w:bCs/>
          <w:sz w:val="20"/>
          <w:szCs w:val="20"/>
        </w:rPr>
        <w:t>ispr</w:t>
      </w:r>
      <w:proofErr w:type="spellEnd"/>
      <w:r w:rsidRPr="00E628DB">
        <w:rPr>
          <w:bCs/>
          <w:sz w:val="20"/>
          <w:szCs w:val="20"/>
        </w:rPr>
        <w:t xml:space="preserve">., 14/2016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95/2018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rd. </w:t>
      </w:r>
      <w:proofErr w:type="spellStart"/>
      <w:r w:rsidRPr="00E628DB">
        <w:rPr>
          <w:bCs/>
          <w:sz w:val="20"/>
          <w:szCs w:val="20"/>
        </w:rPr>
        <w:t>zakon</w:t>
      </w:r>
      <w:proofErr w:type="spellEnd"/>
      <w:r w:rsidRPr="00E628DB">
        <w:rPr>
          <w:bCs/>
          <w:sz w:val="20"/>
          <w:szCs w:val="20"/>
        </w:rPr>
        <w:t xml:space="preserve">) </w:t>
      </w:r>
      <w:proofErr w:type="spellStart"/>
      <w:r w:rsidRPr="00E628DB">
        <w:rPr>
          <w:bCs/>
          <w:sz w:val="20"/>
          <w:szCs w:val="20"/>
        </w:rPr>
        <w:t>i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propisa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donetih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na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osnovu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ovog</w:t>
      </w:r>
      <w:proofErr w:type="spellEnd"/>
      <w:r w:rsidRPr="00E628DB">
        <w:rPr>
          <w:bCs/>
          <w:sz w:val="20"/>
          <w:szCs w:val="20"/>
        </w:rPr>
        <w:t xml:space="preserve"> </w:t>
      </w:r>
      <w:proofErr w:type="spellStart"/>
      <w:r w:rsidRPr="00E628DB">
        <w:rPr>
          <w:bCs/>
          <w:sz w:val="20"/>
          <w:szCs w:val="20"/>
        </w:rPr>
        <w:t>zakona</w:t>
      </w:r>
      <w:proofErr w:type="spellEnd"/>
      <w:r w:rsidRPr="00E628DB">
        <w:rPr>
          <w:bCs/>
          <w:sz w:val="20"/>
          <w:szCs w:val="20"/>
        </w:rPr>
        <w:t>.</w:t>
      </w:r>
    </w:p>
    <w:p w14:paraId="4683435C" w14:textId="76DA78ED" w:rsidR="00BA2B41" w:rsidRDefault="00BA2B41" w:rsidP="00BA2B41">
      <w:pPr>
        <w:pStyle w:val="NoSpacing"/>
        <w:ind w:firstLine="720"/>
        <w:jc w:val="both"/>
        <w:rPr>
          <w:bCs/>
          <w:sz w:val="20"/>
          <w:szCs w:val="20"/>
        </w:rPr>
      </w:pPr>
    </w:p>
    <w:p w14:paraId="365E1DE0" w14:textId="5FC20040" w:rsidR="00E628DB" w:rsidRDefault="00E628DB" w:rsidP="00BA2B41">
      <w:pPr>
        <w:pStyle w:val="NoSpacing"/>
        <w:ind w:firstLine="720"/>
        <w:jc w:val="both"/>
        <w:rPr>
          <w:bCs/>
          <w:sz w:val="20"/>
          <w:szCs w:val="20"/>
        </w:rPr>
      </w:pPr>
    </w:p>
    <w:p w14:paraId="30908A91" w14:textId="77777777" w:rsidR="00E628DB" w:rsidRPr="00E628DB" w:rsidRDefault="00E628DB" w:rsidP="00BA2B41">
      <w:pPr>
        <w:pStyle w:val="NoSpacing"/>
        <w:ind w:firstLine="720"/>
        <w:jc w:val="both"/>
        <w:rPr>
          <w:bCs/>
          <w:sz w:val="20"/>
          <w:szCs w:val="20"/>
        </w:rPr>
      </w:pPr>
    </w:p>
    <w:p w14:paraId="091D1514" w14:textId="77777777" w:rsidR="00E640E4" w:rsidRPr="00E640E4" w:rsidRDefault="00E640E4" w:rsidP="00E640E4">
      <w:pPr>
        <w:pStyle w:val="NoSpacing"/>
        <w:ind w:firstLine="720"/>
        <w:jc w:val="both"/>
        <w:rPr>
          <w:bCs/>
        </w:rPr>
      </w:pPr>
    </w:p>
    <w:p w14:paraId="350ABF9F" w14:textId="641CF866" w:rsidR="00E628DB" w:rsidRPr="00E628DB" w:rsidRDefault="00E628DB" w:rsidP="00E628DB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</w:t>
      </w:r>
      <w:r w:rsidRPr="00E628DB">
        <w:rPr>
          <w:b/>
          <w:bCs/>
        </w:rPr>
        <w:t>Inspektor:</w:t>
      </w:r>
    </w:p>
    <w:p w14:paraId="78660EE0" w14:textId="77777777" w:rsidR="00E628DB" w:rsidRPr="00E628DB" w:rsidRDefault="00E628DB" w:rsidP="00E628DB">
      <w:pPr>
        <w:pStyle w:val="NoSpacing"/>
        <w:jc w:val="both"/>
        <w:rPr>
          <w:b/>
          <w:bCs/>
        </w:rPr>
      </w:pPr>
      <w:r w:rsidRPr="00E628DB">
        <w:rPr>
          <w:b/>
          <w:bCs/>
        </w:rPr>
        <w:t xml:space="preserve">                                                                                                                                               </w:t>
      </w:r>
      <w:proofErr w:type="spellStart"/>
      <w:r w:rsidRPr="00E628DB">
        <w:rPr>
          <w:b/>
          <w:bCs/>
        </w:rPr>
        <w:t>zaštite</w:t>
      </w:r>
      <w:proofErr w:type="spellEnd"/>
      <w:r w:rsidRPr="00E628DB">
        <w:rPr>
          <w:b/>
          <w:bCs/>
        </w:rPr>
        <w:t xml:space="preserve"> </w:t>
      </w:r>
      <w:proofErr w:type="spellStart"/>
      <w:r w:rsidRPr="00E628DB">
        <w:rPr>
          <w:b/>
          <w:bCs/>
        </w:rPr>
        <w:t>životne</w:t>
      </w:r>
      <w:proofErr w:type="spellEnd"/>
      <w:r w:rsidRPr="00E628DB">
        <w:rPr>
          <w:b/>
          <w:bCs/>
        </w:rPr>
        <w:t xml:space="preserve"> </w:t>
      </w:r>
      <w:proofErr w:type="spellStart"/>
      <w:r w:rsidRPr="00E628DB">
        <w:rPr>
          <w:b/>
          <w:bCs/>
        </w:rPr>
        <w:t>sredine</w:t>
      </w:r>
      <w:proofErr w:type="spellEnd"/>
    </w:p>
    <w:p w14:paraId="7E559897" w14:textId="77777777" w:rsidR="00E628DB" w:rsidRPr="00E628DB" w:rsidRDefault="00E628DB" w:rsidP="00E628DB">
      <w:pPr>
        <w:pStyle w:val="NoSpacing"/>
        <w:jc w:val="both"/>
        <w:rPr>
          <w:b/>
          <w:bCs/>
        </w:rPr>
      </w:pPr>
      <w:r w:rsidRPr="00E628DB">
        <w:rPr>
          <w:b/>
          <w:bCs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E628DB">
        <w:rPr>
          <w:b/>
          <w:bCs/>
        </w:rPr>
        <w:t>Ljutvija</w:t>
      </w:r>
      <w:proofErr w:type="spellEnd"/>
      <w:r w:rsidRPr="00E628DB">
        <w:rPr>
          <w:b/>
          <w:bCs/>
        </w:rPr>
        <w:t xml:space="preserve"> </w:t>
      </w:r>
      <w:proofErr w:type="spellStart"/>
      <w:r w:rsidRPr="00E628DB">
        <w:rPr>
          <w:b/>
          <w:bCs/>
        </w:rPr>
        <w:t>Camić</w:t>
      </w:r>
      <w:proofErr w:type="spellEnd"/>
    </w:p>
    <w:p w14:paraId="30F5C05D" w14:textId="3C4A5720" w:rsidR="00567C61" w:rsidRPr="00567C61" w:rsidRDefault="00567C61" w:rsidP="00567C61">
      <w:pPr>
        <w:pStyle w:val="NoSpacing"/>
        <w:jc w:val="both"/>
        <w:rPr>
          <w:bCs/>
        </w:rPr>
      </w:pPr>
    </w:p>
    <w:p w14:paraId="612D14E2" w14:textId="6EC9665A" w:rsidR="00567C61" w:rsidRPr="00567C61" w:rsidRDefault="00567C61" w:rsidP="00567C61">
      <w:pPr>
        <w:pStyle w:val="NoSpacing"/>
        <w:jc w:val="both"/>
        <w:rPr>
          <w:bCs/>
        </w:rPr>
      </w:pPr>
    </w:p>
    <w:sectPr w:rsidR="00567C61" w:rsidRPr="00567C61" w:rsidSect="002E242C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49BB9" w14:textId="77777777" w:rsidR="002E242C" w:rsidRDefault="002E242C" w:rsidP="005F055A">
      <w:r>
        <w:separator/>
      </w:r>
    </w:p>
  </w:endnote>
  <w:endnote w:type="continuationSeparator" w:id="0">
    <w:p w14:paraId="594327E1" w14:textId="77777777" w:rsidR="002E242C" w:rsidRDefault="002E242C" w:rsidP="005F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727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C0B26" w14:textId="2307AE2F" w:rsidR="005F055A" w:rsidRDefault="005F05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1AE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59D0869" w14:textId="77777777" w:rsidR="005F055A" w:rsidRDefault="005F0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081CE" w14:textId="77777777" w:rsidR="002E242C" w:rsidRDefault="002E242C" w:rsidP="005F055A">
      <w:r>
        <w:separator/>
      </w:r>
    </w:p>
  </w:footnote>
  <w:footnote w:type="continuationSeparator" w:id="0">
    <w:p w14:paraId="4C4953AD" w14:textId="77777777" w:rsidR="002E242C" w:rsidRDefault="002E242C" w:rsidP="005F0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69C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6044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EAE"/>
    <w:rsid w:val="00026F99"/>
    <w:rsid w:val="00037AEC"/>
    <w:rsid w:val="00072137"/>
    <w:rsid w:val="000C4932"/>
    <w:rsid w:val="000D6809"/>
    <w:rsid w:val="000E0980"/>
    <w:rsid w:val="00155E6D"/>
    <w:rsid w:val="00163752"/>
    <w:rsid w:val="001A0BBD"/>
    <w:rsid w:val="00232C6E"/>
    <w:rsid w:val="0025608B"/>
    <w:rsid w:val="002D027E"/>
    <w:rsid w:val="002E242C"/>
    <w:rsid w:val="003116A6"/>
    <w:rsid w:val="00320F1A"/>
    <w:rsid w:val="003503A8"/>
    <w:rsid w:val="00372A80"/>
    <w:rsid w:val="003C3E87"/>
    <w:rsid w:val="003F609D"/>
    <w:rsid w:val="0043327F"/>
    <w:rsid w:val="00436D17"/>
    <w:rsid w:val="004877A2"/>
    <w:rsid w:val="00546E0A"/>
    <w:rsid w:val="005547D6"/>
    <w:rsid w:val="00567C61"/>
    <w:rsid w:val="00577359"/>
    <w:rsid w:val="005876A8"/>
    <w:rsid w:val="005B6F76"/>
    <w:rsid w:val="005E0607"/>
    <w:rsid w:val="005F055A"/>
    <w:rsid w:val="005F1AE6"/>
    <w:rsid w:val="005F61A0"/>
    <w:rsid w:val="006B5662"/>
    <w:rsid w:val="006D7F7F"/>
    <w:rsid w:val="00725512"/>
    <w:rsid w:val="00725920"/>
    <w:rsid w:val="007363DF"/>
    <w:rsid w:val="007404E2"/>
    <w:rsid w:val="00763EAE"/>
    <w:rsid w:val="00780B4A"/>
    <w:rsid w:val="0078176C"/>
    <w:rsid w:val="007862D7"/>
    <w:rsid w:val="00787041"/>
    <w:rsid w:val="007C2516"/>
    <w:rsid w:val="007E5672"/>
    <w:rsid w:val="007E56D3"/>
    <w:rsid w:val="00801AC1"/>
    <w:rsid w:val="00840F0F"/>
    <w:rsid w:val="008613C9"/>
    <w:rsid w:val="008717D1"/>
    <w:rsid w:val="008939C9"/>
    <w:rsid w:val="00894890"/>
    <w:rsid w:val="008D6A0C"/>
    <w:rsid w:val="008E178F"/>
    <w:rsid w:val="008E70B0"/>
    <w:rsid w:val="009122A3"/>
    <w:rsid w:val="00913F0A"/>
    <w:rsid w:val="00925996"/>
    <w:rsid w:val="00930A21"/>
    <w:rsid w:val="009326D5"/>
    <w:rsid w:val="0094255A"/>
    <w:rsid w:val="009E24FA"/>
    <w:rsid w:val="00A22172"/>
    <w:rsid w:val="00A4170B"/>
    <w:rsid w:val="00AC59F7"/>
    <w:rsid w:val="00AE3DD0"/>
    <w:rsid w:val="00AF1FD1"/>
    <w:rsid w:val="00B4332B"/>
    <w:rsid w:val="00B43CE1"/>
    <w:rsid w:val="00B50D4B"/>
    <w:rsid w:val="00B51E5F"/>
    <w:rsid w:val="00B95322"/>
    <w:rsid w:val="00BA2B41"/>
    <w:rsid w:val="00BF0223"/>
    <w:rsid w:val="00BF7B06"/>
    <w:rsid w:val="00C408D5"/>
    <w:rsid w:val="00C52AE6"/>
    <w:rsid w:val="00C717B8"/>
    <w:rsid w:val="00CB2DE2"/>
    <w:rsid w:val="00D1486D"/>
    <w:rsid w:val="00D23514"/>
    <w:rsid w:val="00D65ADB"/>
    <w:rsid w:val="00D768D6"/>
    <w:rsid w:val="00D8176F"/>
    <w:rsid w:val="00D94426"/>
    <w:rsid w:val="00DD0998"/>
    <w:rsid w:val="00DE2873"/>
    <w:rsid w:val="00DF58CD"/>
    <w:rsid w:val="00DF5D8B"/>
    <w:rsid w:val="00E628DB"/>
    <w:rsid w:val="00E640E4"/>
    <w:rsid w:val="00E70963"/>
    <w:rsid w:val="00EF082A"/>
    <w:rsid w:val="00F0511E"/>
    <w:rsid w:val="00F177C8"/>
    <w:rsid w:val="00F66DEC"/>
    <w:rsid w:val="00F6771A"/>
    <w:rsid w:val="00F825F2"/>
    <w:rsid w:val="00FB5698"/>
    <w:rsid w:val="00FC6DB2"/>
    <w:rsid w:val="00FD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A383D"/>
  <w15:chartTrackingRefBased/>
  <w15:docId w15:val="{9D28B127-E3AB-4183-823E-25C7FB49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1A0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096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0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55A"/>
  </w:style>
  <w:style w:type="paragraph" w:styleId="Footer">
    <w:name w:val="footer"/>
    <w:basedOn w:val="Normal"/>
    <w:link w:val="FooterChar"/>
    <w:uiPriority w:val="99"/>
    <w:unhideWhenUsed/>
    <w:rsid w:val="005F0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55A"/>
  </w:style>
  <w:style w:type="character" w:styleId="Hyperlink">
    <w:name w:val="Hyperlink"/>
    <w:basedOn w:val="DefaultParagraphFont"/>
    <w:uiPriority w:val="99"/>
    <w:unhideWhenUsed/>
    <w:rsid w:val="009122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22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7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tin.rs/vijesti/kontrolne-l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1512-7C91-4574-8ED3-CEFE7BEE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8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ljutvija.camic</dc:creator>
  <cp:keywords/>
  <dc:description/>
  <cp:lastModifiedBy>ljutvija.camic</cp:lastModifiedBy>
  <cp:revision>65</cp:revision>
  <dcterms:created xsi:type="dcterms:W3CDTF">2024-03-18T08:31:00Z</dcterms:created>
  <dcterms:modified xsi:type="dcterms:W3CDTF">2024-03-26T08:31:00Z</dcterms:modified>
</cp:coreProperties>
</file>